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59D" w:rsidRDefault="0070659D" w:rsidP="0070659D">
      <w:pPr>
        <w:jc w:val="center"/>
        <w:rPr>
          <w:rFonts w:ascii="Arial" w:hAnsi="Arial" w:cs="Arial"/>
          <w:b/>
          <w:sz w:val="72"/>
          <w:szCs w:val="72"/>
        </w:rPr>
      </w:pPr>
    </w:p>
    <w:p w:rsidR="0070659D" w:rsidRDefault="0070659D" w:rsidP="0070659D">
      <w:pPr>
        <w:jc w:val="center"/>
        <w:rPr>
          <w:rFonts w:ascii="Arial" w:hAnsi="Arial" w:cs="Arial"/>
          <w:b/>
          <w:sz w:val="72"/>
          <w:szCs w:val="72"/>
        </w:rPr>
      </w:pPr>
    </w:p>
    <w:p w:rsidR="0070659D" w:rsidRDefault="0070659D" w:rsidP="0070659D">
      <w:pPr>
        <w:jc w:val="center"/>
        <w:rPr>
          <w:rFonts w:ascii="Arial" w:hAnsi="Arial" w:cs="Arial"/>
          <w:b/>
          <w:sz w:val="72"/>
          <w:szCs w:val="72"/>
        </w:rPr>
      </w:pPr>
      <w:r w:rsidRPr="00764EB3">
        <w:rPr>
          <w:rFonts w:ascii="Arial" w:hAnsi="Arial" w:cs="Arial"/>
          <w:b/>
          <w:sz w:val="72"/>
          <w:szCs w:val="72"/>
        </w:rPr>
        <w:t>SITUACIÓN LABORAL</w:t>
      </w:r>
      <w:r>
        <w:rPr>
          <w:rFonts w:ascii="Arial" w:hAnsi="Arial" w:cs="Arial"/>
          <w:b/>
          <w:sz w:val="72"/>
          <w:szCs w:val="72"/>
        </w:rPr>
        <w:t xml:space="preserve"> </w:t>
      </w:r>
      <w:r w:rsidRPr="00764EB3">
        <w:rPr>
          <w:rFonts w:ascii="Arial" w:hAnsi="Arial" w:cs="Arial"/>
          <w:b/>
          <w:sz w:val="72"/>
          <w:szCs w:val="72"/>
        </w:rPr>
        <w:t>DAS MULLERES</w:t>
      </w:r>
    </w:p>
    <w:p w:rsidR="0070659D" w:rsidRPr="00764EB3" w:rsidRDefault="0070659D" w:rsidP="0070659D">
      <w:pPr>
        <w:jc w:val="center"/>
        <w:rPr>
          <w:rFonts w:ascii="Arial" w:hAnsi="Arial" w:cs="Arial"/>
          <w:b/>
          <w:sz w:val="72"/>
          <w:szCs w:val="72"/>
        </w:rPr>
      </w:pPr>
      <w:r w:rsidRPr="00764EB3">
        <w:rPr>
          <w:rFonts w:ascii="Arial" w:hAnsi="Arial" w:cs="Arial"/>
          <w:b/>
          <w:sz w:val="72"/>
          <w:szCs w:val="72"/>
        </w:rPr>
        <w:t>EN</w:t>
      </w:r>
      <w:r>
        <w:rPr>
          <w:rFonts w:ascii="Arial" w:hAnsi="Arial" w:cs="Arial"/>
          <w:b/>
          <w:sz w:val="72"/>
          <w:szCs w:val="72"/>
        </w:rPr>
        <w:t xml:space="preserve"> </w:t>
      </w:r>
      <w:r w:rsidRPr="00764EB3">
        <w:rPr>
          <w:rFonts w:ascii="Arial" w:hAnsi="Arial" w:cs="Arial"/>
          <w:b/>
          <w:sz w:val="72"/>
          <w:szCs w:val="72"/>
        </w:rPr>
        <w:t>GALIZA</w:t>
      </w:r>
    </w:p>
    <w:p w:rsidR="0070659D" w:rsidRPr="00764EB3" w:rsidRDefault="0070659D" w:rsidP="0070659D">
      <w:pPr>
        <w:tabs>
          <w:tab w:val="left" w:pos="6135"/>
        </w:tabs>
        <w:jc w:val="center"/>
        <w:rPr>
          <w:rFonts w:ascii="Arial" w:hAnsi="Arial" w:cs="Arial"/>
          <w:b/>
          <w:sz w:val="72"/>
          <w:szCs w:val="72"/>
        </w:rPr>
      </w:pPr>
      <w:r w:rsidRPr="00764EB3">
        <w:rPr>
          <w:rFonts w:ascii="Arial" w:hAnsi="Arial" w:cs="Arial"/>
          <w:b/>
          <w:sz w:val="72"/>
          <w:szCs w:val="72"/>
        </w:rPr>
        <w:t>(ANO 201</w:t>
      </w:r>
      <w:r>
        <w:rPr>
          <w:rFonts w:ascii="Arial" w:hAnsi="Arial" w:cs="Arial"/>
          <w:b/>
          <w:sz w:val="72"/>
          <w:szCs w:val="72"/>
        </w:rPr>
        <w:t>7</w:t>
      </w:r>
      <w:r w:rsidRPr="00764EB3">
        <w:rPr>
          <w:rFonts w:ascii="Arial" w:hAnsi="Arial" w:cs="Arial"/>
          <w:b/>
          <w:sz w:val="72"/>
          <w:szCs w:val="72"/>
        </w:rPr>
        <w:t>)</w:t>
      </w:r>
    </w:p>
    <w:p w:rsidR="0070659D" w:rsidRDefault="0070659D" w:rsidP="0070659D"/>
    <w:p w:rsidR="0070659D" w:rsidRDefault="0070659D" w:rsidP="0070659D"/>
    <w:p w:rsidR="0070659D" w:rsidRDefault="0070659D" w:rsidP="0070659D"/>
    <w:p w:rsidR="0070659D" w:rsidRDefault="0070659D" w:rsidP="0070659D"/>
    <w:p w:rsidR="0070659D" w:rsidRDefault="0070659D" w:rsidP="0070659D"/>
    <w:p w:rsidR="0070659D" w:rsidRDefault="0070659D" w:rsidP="0070659D">
      <w:r>
        <w:rPr>
          <w:noProof/>
          <w:lang w:val="es-ES" w:eastAsia="es-ES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3720465</wp:posOffset>
            </wp:positionH>
            <wp:positionV relativeFrom="paragraph">
              <wp:posOffset>299085</wp:posOffset>
            </wp:positionV>
            <wp:extent cx="1675765" cy="1009650"/>
            <wp:effectExtent l="19050" t="0" r="635" b="0"/>
            <wp:wrapNone/>
            <wp:docPr id="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765" cy="1009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659D" w:rsidRDefault="0070659D" w:rsidP="0070659D"/>
    <w:p w:rsidR="0070659D" w:rsidRDefault="0070659D" w:rsidP="0070659D"/>
    <w:p w:rsidR="0070659D" w:rsidRDefault="0070659D" w:rsidP="0070659D"/>
    <w:p w:rsidR="0070659D" w:rsidRDefault="0070659D" w:rsidP="0070659D"/>
    <w:p w:rsidR="0070659D" w:rsidRPr="008843EC" w:rsidRDefault="0070659D" w:rsidP="0070659D">
      <w:pPr>
        <w:jc w:val="right"/>
        <w:rPr>
          <w:rFonts w:ascii="Arial" w:hAnsi="Arial" w:cs="Arial"/>
          <w:b/>
          <w:sz w:val="40"/>
          <w:szCs w:val="40"/>
        </w:rPr>
      </w:pPr>
      <w:r w:rsidRPr="008843EC">
        <w:rPr>
          <w:rFonts w:ascii="Arial" w:hAnsi="Arial" w:cs="Arial"/>
          <w:b/>
          <w:sz w:val="40"/>
          <w:szCs w:val="40"/>
        </w:rPr>
        <w:t>Gabinete Técnico Confederal</w:t>
      </w:r>
    </w:p>
    <w:p w:rsidR="0070659D" w:rsidRDefault="0070659D" w:rsidP="0070659D"/>
    <w:p w:rsidR="00C71445" w:rsidRPr="00C71445" w:rsidRDefault="00724403" w:rsidP="00C71445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lastRenderedPageBreak/>
        <w:t>Neste 8 de M</w:t>
      </w:r>
      <w:r w:rsidR="00C71445" w:rsidRPr="00C71445">
        <w:rPr>
          <w:rFonts w:ascii="Arial" w:hAnsi="Arial" w:cs="Arial"/>
          <w:sz w:val="24"/>
          <w:szCs w:val="24"/>
          <w:lang w:val="gl-ES"/>
        </w:rPr>
        <w:t>arzo a CIG convoca unha folga de mulleres en Galiza, no marco dunha xornada internacional de paros e mobilizacións para reivindicar a igualdade de oportunidades entre mulleres e homes nas condicións de traballo, na esfera social e o dereito a vivir sen violencia.</w:t>
      </w:r>
    </w:p>
    <w:p w:rsidR="00C71445" w:rsidRPr="00C71445" w:rsidRDefault="00C71445" w:rsidP="00C71445">
      <w:pPr>
        <w:jc w:val="both"/>
        <w:rPr>
          <w:rFonts w:ascii="Arial" w:hAnsi="Arial" w:cs="Arial"/>
          <w:sz w:val="24"/>
          <w:szCs w:val="24"/>
          <w:lang w:val="gl-ES"/>
        </w:rPr>
      </w:pPr>
      <w:r w:rsidRPr="00C71445">
        <w:rPr>
          <w:rFonts w:ascii="Arial" w:hAnsi="Arial" w:cs="Arial"/>
          <w:sz w:val="24"/>
          <w:szCs w:val="24"/>
          <w:lang w:val="gl-ES"/>
        </w:rPr>
        <w:t>Son moitos os tipos de discriminacións existentes na nosa sociedade</w:t>
      </w:r>
      <w:r w:rsidR="00724403">
        <w:rPr>
          <w:rFonts w:ascii="Arial" w:hAnsi="Arial" w:cs="Arial"/>
          <w:sz w:val="24"/>
          <w:szCs w:val="24"/>
          <w:lang w:val="gl-ES"/>
        </w:rPr>
        <w:t>, presentes en todos os ámbitos. N</w:t>
      </w:r>
      <w:r w:rsidRPr="00C71445">
        <w:rPr>
          <w:rFonts w:ascii="Arial" w:hAnsi="Arial" w:cs="Arial"/>
          <w:sz w:val="24"/>
          <w:szCs w:val="24"/>
          <w:lang w:val="gl-ES"/>
        </w:rPr>
        <w:t>ós, como sindicato, loitamos activamente durante todo o ano pola eliminación de todo tipo de discriminacións por razóns de xénero no ámbito laboral. Cada ano, nestas datas, cando realizamos este informe, e top</w:t>
      </w:r>
      <w:r w:rsidR="00724403">
        <w:rPr>
          <w:rFonts w:ascii="Arial" w:hAnsi="Arial" w:cs="Arial"/>
          <w:sz w:val="24"/>
          <w:szCs w:val="24"/>
          <w:lang w:val="gl-ES"/>
        </w:rPr>
        <w:t>a</w:t>
      </w:r>
      <w:r w:rsidRPr="00C71445">
        <w:rPr>
          <w:rFonts w:ascii="Arial" w:hAnsi="Arial" w:cs="Arial"/>
          <w:sz w:val="24"/>
          <w:szCs w:val="24"/>
          <w:lang w:val="gl-ES"/>
        </w:rPr>
        <w:t xml:space="preserve">mos coa realidade de que os condicións de traballo entre homes e mulleres seguen sendo moi </w:t>
      </w:r>
      <w:r w:rsidR="00D30170">
        <w:rPr>
          <w:rFonts w:ascii="Arial" w:hAnsi="Arial" w:cs="Arial"/>
          <w:sz w:val="24"/>
          <w:szCs w:val="24"/>
          <w:lang w:val="gl-ES"/>
        </w:rPr>
        <w:t>diferentes</w:t>
      </w:r>
      <w:r w:rsidRPr="00C71445">
        <w:rPr>
          <w:rFonts w:ascii="Arial" w:hAnsi="Arial" w:cs="Arial"/>
          <w:sz w:val="24"/>
          <w:szCs w:val="24"/>
          <w:lang w:val="gl-ES"/>
        </w:rPr>
        <w:t xml:space="preserve"> </w:t>
      </w:r>
      <w:r w:rsidR="00724403">
        <w:rPr>
          <w:rFonts w:ascii="Arial" w:hAnsi="Arial" w:cs="Arial"/>
          <w:sz w:val="24"/>
          <w:szCs w:val="24"/>
          <w:lang w:val="gl-ES"/>
        </w:rPr>
        <w:t>-</w:t>
      </w:r>
      <w:r w:rsidRPr="00C71445">
        <w:rPr>
          <w:rFonts w:ascii="Arial" w:hAnsi="Arial" w:cs="Arial"/>
          <w:sz w:val="24"/>
          <w:szCs w:val="24"/>
          <w:lang w:val="gl-ES"/>
        </w:rPr>
        <w:t>sendo as mulleres as alarmantemente</w:t>
      </w:r>
      <w:r>
        <w:rPr>
          <w:rFonts w:ascii="Arial" w:hAnsi="Arial" w:cs="Arial"/>
          <w:sz w:val="24"/>
          <w:szCs w:val="24"/>
          <w:lang w:val="gl-ES"/>
        </w:rPr>
        <w:t xml:space="preserve"> </w:t>
      </w:r>
      <w:r w:rsidRPr="00C71445">
        <w:rPr>
          <w:rFonts w:ascii="Arial" w:hAnsi="Arial" w:cs="Arial"/>
          <w:sz w:val="24"/>
          <w:szCs w:val="24"/>
          <w:lang w:val="gl-ES"/>
        </w:rPr>
        <w:t>prexudicadas nesta diferenza</w:t>
      </w:r>
      <w:r w:rsidR="00724403">
        <w:rPr>
          <w:rFonts w:ascii="Arial" w:hAnsi="Arial" w:cs="Arial"/>
          <w:sz w:val="24"/>
          <w:szCs w:val="24"/>
          <w:lang w:val="gl-ES"/>
        </w:rPr>
        <w:t>-</w:t>
      </w:r>
      <w:r w:rsidRPr="00C71445">
        <w:rPr>
          <w:rFonts w:ascii="Arial" w:hAnsi="Arial" w:cs="Arial"/>
          <w:sz w:val="24"/>
          <w:szCs w:val="24"/>
          <w:lang w:val="gl-ES"/>
        </w:rPr>
        <w:t>,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 w:rsidRPr="00C71445">
        <w:rPr>
          <w:rFonts w:ascii="Arial" w:hAnsi="Arial" w:cs="Arial"/>
          <w:sz w:val="24"/>
          <w:szCs w:val="24"/>
          <w:lang w:val="gl-ES"/>
        </w:rPr>
        <w:t>reafirmarnos na nosa loita e na necesidade da folga convocada para este ano.</w:t>
      </w:r>
    </w:p>
    <w:p w:rsidR="00B647E2" w:rsidRDefault="00454AC6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Referímonos </w:t>
      </w:r>
      <w:r w:rsidR="00724403">
        <w:rPr>
          <w:rFonts w:ascii="Arial" w:hAnsi="Arial" w:cs="Arial"/>
          <w:sz w:val="24"/>
          <w:szCs w:val="24"/>
          <w:lang w:val="gl-ES"/>
        </w:rPr>
        <w:t>á</w:t>
      </w:r>
      <w:r>
        <w:rPr>
          <w:rFonts w:ascii="Arial" w:hAnsi="Arial" w:cs="Arial"/>
          <w:sz w:val="24"/>
          <w:szCs w:val="24"/>
          <w:lang w:val="gl-ES"/>
        </w:rPr>
        <w:t>s taxas de actividade ocupación e paro, onde a importante perda de poboación activa e o maior descenso da ocupación masculina</w:t>
      </w:r>
      <w:r w:rsidR="00724403">
        <w:rPr>
          <w:rFonts w:ascii="Arial" w:hAnsi="Arial" w:cs="Arial"/>
          <w:sz w:val="24"/>
          <w:szCs w:val="24"/>
          <w:lang w:val="gl-ES"/>
        </w:rPr>
        <w:t>,</w:t>
      </w:r>
      <w:r>
        <w:rPr>
          <w:rFonts w:ascii="Arial" w:hAnsi="Arial" w:cs="Arial"/>
          <w:sz w:val="24"/>
          <w:szCs w:val="24"/>
          <w:lang w:val="gl-ES"/>
        </w:rPr>
        <w:t xml:space="preserve"> xunto coa emigración, fixeron que estas taxas se fo</w:t>
      </w:r>
      <w:r w:rsidR="00724403">
        <w:rPr>
          <w:rFonts w:ascii="Arial" w:hAnsi="Arial" w:cs="Arial"/>
          <w:sz w:val="24"/>
          <w:szCs w:val="24"/>
          <w:lang w:val="gl-ES"/>
        </w:rPr>
        <w:t>se</w:t>
      </w:r>
      <w:r>
        <w:rPr>
          <w:rFonts w:ascii="Arial" w:hAnsi="Arial" w:cs="Arial"/>
          <w:sz w:val="24"/>
          <w:szCs w:val="24"/>
          <w:lang w:val="gl-ES"/>
        </w:rPr>
        <w:t xml:space="preserve">n acercando entrambos </w:t>
      </w:r>
      <w:r w:rsidR="00724403">
        <w:rPr>
          <w:rFonts w:ascii="Arial" w:hAnsi="Arial" w:cs="Arial"/>
          <w:sz w:val="24"/>
          <w:szCs w:val="24"/>
          <w:lang w:val="gl-ES"/>
        </w:rPr>
        <w:t xml:space="preserve">os </w:t>
      </w:r>
      <w:r>
        <w:rPr>
          <w:rFonts w:ascii="Arial" w:hAnsi="Arial" w:cs="Arial"/>
          <w:sz w:val="24"/>
          <w:szCs w:val="24"/>
          <w:lang w:val="gl-ES"/>
        </w:rPr>
        <w:t>sexos.</w:t>
      </w:r>
    </w:p>
    <w:p w:rsidR="00454AC6" w:rsidRDefault="00454AC6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Referímonos </w:t>
      </w:r>
      <w:r w:rsidR="00724403">
        <w:rPr>
          <w:rFonts w:ascii="Arial" w:hAnsi="Arial" w:cs="Arial"/>
          <w:sz w:val="24"/>
          <w:szCs w:val="24"/>
          <w:lang w:val="gl-ES"/>
        </w:rPr>
        <w:t>á</w:t>
      </w:r>
      <w:r>
        <w:rPr>
          <w:rFonts w:ascii="Arial" w:hAnsi="Arial" w:cs="Arial"/>
          <w:sz w:val="24"/>
          <w:szCs w:val="24"/>
          <w:lang w:val="gl-ES"/>
        </w:rPr>
        <w:t xml:space="preserve">s xornadas parciais, que a pesar </w:t>
      </w:r>
      <w:r w:rsidR="00724403">
        <w:rPr>
          <w:rFonts w:ascii="Arial" w:hAnsi="Arial" w:cs="Arial"/>
          <w:sz w:val="24"/>
          <w:szCs w:val="24"/>
          <w:lang w:val="gl-ES"/>
        </w:rPr>
        <w:t xml:space="preserve">de </w:t>
      </w:r>
      <w:r>
        <w:rPr>
          <w:rFonts w:ascii="Arial" w:hAnsi="Arial" w:cs="Arial"/>
          <w:sz w:val="24"/>
          <w:szCs w:val="24"/>
          <w:lang w:val="gl-ES"/>
        </w:rPr>
        <w:t xml:space="preserve">que entre a poboación masculina continúan sendo </w:t>
      </w:r>
      <w:r w:rsidR="00724403">
        <w:rPr>
          <w:rFonts w:ascii="Arial" w:hAnsi="Arial" w:cs="Arial"/>
          <w:sz w:val="24"/>
          <w:szCs w:val="24"/>
          <w:lang w:val="gl-ES"/>
        </w:rPr>
        <w:t>apenas t</w:t>
      </w:r>
      <w:r>
        <w:rPr>
          <w:rFonts w:ascii="Arial" w:hAnsi="Arial" w:cs="Arial"/>
          <w:sz w:val="24"/>
          <w:szCs w:val="24"/>
          <w:lang w:val="gl-ES"/>
        </w:rPr>
        <w:t>est</w:t>
      </w:r>
      <w:r w:rsidR="00724403">
        <w:rPr>
          <w:rFonts w:ascii="Arial" w:hAnsi="Arial" w:cs="Arial"/>
          <w:sz w:val="24"/>
          <w:szCs w:val="24"/>
          <w:lang w:val="gl-ES"/>
        </w:rPr>
        <w:t>e</w:t>
      </w:r>
      <w:r>
        <w:rPr>
          <w:rFonts w:ascii="Arial" w:hAnsi="Arial" w:cs="Arial"/>
          <w:sz w:val="24"/>
          <w:szCs w:val="24"/>
          <w:lang w:val="gl-ES"/>
        </w:rPr>
        <w:t>m</w:t>
      </w:r>
      <w:r w:rsidR="00724403">
        <w:rPr>
          <w:rFonts w:ascii="Arial" w:hAnsi="Arial" w:cs="Arial"/>
          <w:sz w:val="24"/>
          <w:szCs w:val="24"/>
          <w:lang w:val="gl-ES"/>
        </w:rPr>
        <w:t>uñais</w:t>
      </w:r>
      <w:r>
        <w:rPr>
          <w:rFonts w:ascii="Arial" w:hAnsi="Arial" w:cs="Arial"/>
          <w:sz w:val="24"/>
          <w:szCs w:val="24"/>
          <w:lang w:val="gl-ES"/>
        </w:rPr>
        <w:t>, aumentaron durante este período.</w:t>
      </w:r>
    </w:p>
    <w:p w:rsidR="00454AC6" w:rsidRDefault="00454AC6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Referímonos </w:t>
      </w:r>
      <w:r w:rsidR="00724403">
        <w:rPr>
          <w:rFonts w:ascii="Arial" w:hAnsi="Arial" w:cs="Arial"/>
          <w:sz w:val="24"/>
          <w:szCs w:val="24"/>
          <w:lang w:val="gl-ES"/>
        </w:rPr>
        <w:t>á</w:t>
      </w:r>
      <w:r w:rsidR="00603C15">
        <w:rPr>
          <w:rFonts w:ascii="Arial" w:hAnsi="Arial" w:cs="Arial"/>
          <w:sz w:val="24"/>
          <w:szCs w:val="24"/>
          <w:lang w:val="gl-ES"/>
        </w:rPr>
        <w:t xml:space="preserve"> contratación temporal,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xa que</w:t>
      </w:r>
      <w:r w:rsidR="00603C15">
        <w:rPr>
          <w:rFonts w:ascii="Arial" w:hAnsi="Arial" w:cs="Arial"/>
          <w:sz w:val="24"/>
          <w:szCs w:val="24"/>
          <w:lang w:val="gl-ES"/>
        </w:rPr>
        <w:t xml:space="preserve"> </w:t>
      </w:r>
      <w:r w:rsidR="00724403">
        <w:rPr>
          <w:rFonts w:ascii="Arial" w:hAnsi="Arial" w:cs="Arial"/>
          <w:sz w:val="24"/>
          <w:szCs w:val="24"/>
          <w:lang w:val="gl-ES"/>
        </w:rPr>
        <w:t>a</w:t>
      </w:r>
      <w:r w:rsidR="00603C15">
        <w:rPr>
          <w:rFonts w:ascii="Arial" w:hAnsi="Arial" w:cs="Arial"/>
          <w:sz w:val="24"/>
          <w:szCs w:val="24"/>
          <w:lang w:val="gl-ES"/>
        </w:rPr>
        <w:t xml:space="preserve">o ser durante este período practicamente </w:t>
      </w:r>
      <w:r w:rsidR="00724403">
        <w:rPr>
          <w:rFonts w:ascii="Arial" w:hAnsi="Arial" w:cs="Arial"/>
          <w:sz w:val="24"/>
          <w:szCs w:val="24"/>
          <w:lang w:val="gl-ES"/>
        </w:rPr>
        <w:t>a</w:t>
      </w:r>
      <w:r w:rsidR="00603C15">
        <w:rPr>
          <w:rFonts w:ascii="Arial" w:hAnsi="Arial" w:cs="Arial"/>
          <w:sz w:val="24"/>
          <w:szCs w:val="24"/>
          <w:lang w:val="gl-ES"/>
        </w:rPr>
        <w:t xml:space="preserve"> única utilizada no mercado de traballo, tamén reduciu a distancia entre as taxas e de temporalidade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 w:rsidR="00603C15">
        <w:rPr>
          <w:rFonts w:ascii="Arial" w:hAnsi="Arial" w:cs="Arial"/>
          <w:sz w:val="24"/>
          <w:szCs w:val="24"/>
          <w:lang w:val="gl-ES"/>
        </w:rPr>
        <w:t>de homes e mulleres.</w:t>
      </w:r>
    </w:p>
    <w:p w:rsidR="00603C15" w:rsidRDefault="00603C15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Referímonos </w:t>
      </w:r>
      <w:r w:rsidR="00724403">
        <w:rPr>
          <w:rFonts w:ascii="Arial" w:hAnsi="Arial" w:cs="Arial"/>
          <w:sz w:val="24"/>
          <w:szCs w:val="24"/>
          <w:lang w:val="gl-ES"/>
        </w:rPr>
        <w:t>á</w:t>
      </w:r>
      <w:r>
        <w:rPr>
          <w:rFonts w:ascii="Arial" w:hAnsi="Arial" w:cs="Arial"/>
          <w:sz w:val="24"/>
          <w:szCs w:val="24"/>
          <w:lang w:val="gl-ES"/>
        </w:rPr>
        <w:t xml:space="preserve"> alta rotación e escasa duración dos contratos rexistrados, que se incrementou exponencialmente durante este período</w:t>
      </w:r>
      <w:r w:rsidR="0068151D">
        <w:rPr>
          <w:rFonts w:ascii="Arial" w:hAnsi="Arial" w:cs="Arial"/>
          <w:sz w:val="24"/>
          <w:szCs w:val="24"/>
          <w:lang w:val="gl-ES"/>
        </w:rPr>
        <w:t xml:space="preserve"> en ambos </w:t>
      </w:r>
      <w:r w:rsidR="00724403">
        <w:rPr>
          <w:rFonts w:ascii="Arial" w:hAnsi="Arial" w:cs="Arial"/>
          <w:sz w:val="24"/>
          <w:szCs w:val="24"/>
          <w:lang w:val="gl-ES"/>
        </w:rPr>
        <w:t>os sexos, etc.</w:t>
      </w:r>
    </w:p>
    <w:p w:rsidR="008B7CF6" w:rsidRPr="008B7CF6" w:rsidRDefault="0068151D" w:rsidP="008B7CF6">
      <w:pPr>
        <w:jc w:val="both"/>
        <w:rPr>
          <w:rFonts w:ascii="Arial" w:eastAsia="Times New Roman" w:hAnsi="Arial" w:cs="Arial"/>
          <w:iCs/>
          <w:sz w:val="24"/>
          <w:szCs w:val="24"/>
          <w:lang w:val="gl-ES"/>
        </w:rPr>
      </w:pPr>
      <w:r w:rsidRPr="00196A96">
        <w:rPr>
          <w:rFonts w:ascii="Arial" w:hAnsi="Arial" w:cs="Arial"/>
          <w:iCs/>
          <w:sz w:val="24"/>
          <w:szCs w:val="24"/>
          <w:lang w:val="gl-ES"/>
        </w:rPr>
        <w:t>T</w:t>
      </w:r>
      <w:r w:rsidR="00724403">
        <w:rPr>
          <w:rFonts w:ascii="Arial" w:hAnsi="Arial" w:cs="Arial"/>
          <w:iCs/>
          <w:sz w:val="24"/>
          <w:szCs w:val="24"/>
          <w:lang w:val="gl-ES"/>
        </w:rPr>
        <w:t>odos os</w:t>
      </w:r>
      <w:r w:rsidRPr="00196A96">
        <w:rPr>
          <w:rFonts w:ascii="Arial" w:hAnsi="Arial" w:cs="Arial"/>
          <w:iCs/>
          <w:sz w:val="24"/>
          <w:szCs w:val="24"/>
          <w:lang w:val="gl-ES"/>
        </w:rPr>
        <w:t xml:space="preserve"> indicadores descritos anteriormente son </w:t>
      </w:r>
      <w:r w:rsidR="00724403">
        <w:rPr>
          <w:rFonts w:ascii="Arial" w:hAnsi="Arial" w:cs="Arial"/>
          <w:iCs/>
          <w:sz w:val="24"/>
          <w:szCs w:val="24"/>
          <w:lang w:val="gl-ES"/>
        </w:rPr>
        <w:t>cuantificábeis</w:t>
      </w:r>
      <w:r w:rsidRPr="00196A96">
        <w:rPr>
          <w:rFonts w:ascii="Arial" w:hAnsi="Arial" w:cs="Arial"/>
          <w:iCs/>
          <w:sz w:val="24"/>
          <w:szCs w:val="24"/>
          <w:lang w:val="gl-ES"/>
        </w:rPr>
        <w:t xml:space="preserve">, </w:t>
      </w:r>
      <w:r w:rsidR="00724403">
        <w:rPr>
          <w:rFonts w:ascii="Arial" w:hAnsi="Arial" w:cs="Arial"/>
          <w:iCs/>
          <w:sz w:val="24"/>
          <w:szCs w:val="24"/>
          <w:lang w:val="gl-ES"/>
        </w:rPr>
        <w:t>mais</w:t>
      </w:r>
      <w:r w:rsidRPr="00196A96">
        <w:rPr>
          <w:rFonts w:ascii="Arial" w:hAnsi="Arial" w:cs="Arial"/>
          <w:iCs/>
          <w:sz w:val="24"/>
          <w:szCs w:val="24"/>
          <w:lang w:val="gl-ES"/>
        </w:rPr>
        <w:t xml:space="preserve"> hai outro</w:t>
      </w:r>
      <w:r w:rsidR="00724403">
        <w:rPr>
          <w:rFonts w:ascii="Arial" w:hAnsi="Arial" w:cs="Arial"/>
          <w:iCs/>
          <w:sz w:val="24"/>
          <w:szCs w:val="24"/>
          <w:lang w:val="gl-ES"/>
        </w:rPr>
        <w:t xml:space="preserve"> </w:t>
      </w:r>
      <w:r w:rsidR="008B7CF6" w:rsidRPr="008B7CF6">
        <w:rPr>
          <w:rFonts w:ascii="Arial" w:eastAsia="Times New Roman" w:hAnsi="Arial" w:cs="Arial"/>
          <w:iCs/>
          <w:sz w:val="24"/>
          <w:szCs w:val="24"/>
          <w:lang w:val="gl-ES"/>
        </w:rPr>
        <w:t>efecto directo da crise</w:t>
      </w:r>
      <w:r>
        <w:rPr>
          <w:rFonts w:ascii="Arial" w:hAnsi="Arial" w:cs="Arial"/>
          <w:iCs/>
          <w:sz w:val="24"/>
          <w:szCs w:val="24"/>
          <w:lang w:val="gl-ES"/>
        </w:rPr>
        <w:t xml:space="preserve"> que</w:t>
      </w:r>
      <w:r w:rsidR="00724403">
        <w:rPr>
          <w:rFonts w:ascii="Arial" w:hAnsi="Arial" w:cs="Arial"/>
          <w:iCs/>
          <w:sz w:val="24"/>
          <w:szCs w:val="24"/>
          <w:lang w:val="gl-ES"/>
        </w:rPr>
        <w:t xml:space="preserve"> </w:t>
      </w:r>
      <w:r>
        <w:rPr>
          <w:rFonts w:ascii="Arial" w:hAnsi="Arial" w:cs="Arial"/>
          <w:iCs/>
          <w:sz w:val="24"/>
          <w:szCs w:val="24"/>
          <w:lang w:val="gl-ES"/>
        </w:rPr>
        <w:t xml:space="preserve">foi </w:t>
      </w:r>
      <w:r w:rsidR="008B7CF6" w:rsidRPr="008B7CF6">
        <w:rPr>
          <w:rFonts w:ascii="Arial" w:eastAsia="Times New Roman" w:hAnsi="Arial" w:cs="Arial"/>
          <w:iCs/>
          <w:sz w:val="24"/>
          <w:szCs w:val="24"/>
          <w:lang w:val="gl-ES"/>
        </w:rPr>
        <w:t>a caída da recadación orzamentaria, derivada da caída da actividade económica e do emprego</w:t>
      </w:r>
      <w:r w:rsidR="00724403">
        <w:rPr>
          <w:rFonts w:ascii="Arial" w:eastAsia="Times New Roman" w:hAnsi="Arial" w:cs="Arial"/>
          <w:iCs/>
          <w:sz w:val="24"/>
          <w:szCs w:val="24"/>
          <w:lang w:val="gl-ES"/>
        </w:rPr>
        <w:t>. A</w:t>
      </w:r>
      <w:r w:rsidR="008B7CF6" w:rsidRPr="008B7CF6">
        <w:rPr>
          <w:rFonts w:ascii="Arial" w:eastAsia="Times New Roman" w:hAnsi="Arial" w:cs="Arial"/>
          <w:iCs/>
          <w:sz w:val="24"/>
          <w:szCs w:val="24"/>
          <w:lang w:val="gl-ES"/>
        </w:rPr>
        <w:t xml:space="preserve"> pesar de que os gobernos po</w:t>
      </w:r>
      <w:r>
        <w:rPr>
          <w:rFonts w:ascii="Arial" w:hAnsi="Arial" w:cs="Arial"/>
          <w:iCs/>
          <w:sz w:val="24"/>
          <w:szCs w:val="24"/>
          <w:lang w:val="gl-ES"/>
        </w:rPr>
        <w:t>i</w:t>
      </w:r>
      <w:r w:rsidR="008B7CF6" w:rsidRPr="008B7CF6">
        <w:rPr>
          <w:rFonts w:ascii="Arial" w:eastAsia="Times New Roman" w:hAnsi="Arial" w:cs="Arial"/>
          <w:iCs/>
          <w:sz w:val="24"/>
          <w:szCs w:val="24"/>
          <w:lang w:val="gl-ES"/>
        </w:rPr>
        <w:t xml:space="preserve">dan recorrer </w:t>
      </w:r>
      <w:r w:rsidR="00724403">
        <w:rPr>
          <w:rFonts w:ascii="Arial" w:eastAsia="Times New Roman" w:hAnsi="Arial" w:cs="Arial"/>
          <w:iCs/>
          <w:sz w:val="24"/>
          <w:szCs w:val="24"/>
          <w:lang w:val="gl-ES"/>
        </w:rPr>
        <w:t>ao</w:t>
      </w:r>
      <w:r w:rsidR="008B7CF6" w:rsidRPr="008B7CF6">
        <w:rPr>
          <w:rFonts w:ascii="Arial" w:eastAsia="Times New Roman" w:hAnsi="Arial" w:cs="Arial"/>
          <w:iCs/>
          <w:sz w:val="24"/>
          <w:szCs w:val="24"/>
          <w:lang w:val="gl-ES"/>
        </w:rPr>
        <w:t xml:space="preserve"> endebedamento, </w:t>
      </w:r>
      <w:r w:rsidR="008B7CF6" w:rsidRPr="008B7CF6">
        <w:rPr>
          <w:rFonts w:ascii="Arial" w:hAnsi="Arial" w:cs="Arial"/>
          <w:iCs/>
          <w:sz w:val="24"/>
          <w:szCs w:val="24"/>
          <w:lang w:val="gl-ES"/>
        </w:rPr>
        <w:t>produciuse</w:t>
      </w:r>
      <w:r w:rsidR="008B7CF6">
        <w:rPr>
          <w:rFonts w:ascii="Arial" w:hAnsi="Arial" w:cs="Arial"/>
          <w:iCs/>
          <w:sz w:val="24"/>
          <w:szCs w:val="24"/>
          <w:lang w:val="gl-ES"/>
        </w:rPr>
        <w:t xml:space="preserve"> un</w:t>
      </w:r>
      <w:r w:rsidR="008B7CF6" w:rsidRPr="008B7CF6">
        <w:rPr>
          <w:rFonts w:ascii="Arial" w:hAnsi="Arial" w:cs="Arial"/>
          <w:iCs/>
          <w:sz w:val="24"/>
          <w:szCs w:val="24"/>
          <w:lang w:val="gl-ES"/>
        </w:rPr>
        <w:t>ha</w:t>
      </w:r>
      <w:r w:rsidR="00724403">
        <w:rPr>
          <w:rFonts w:ascii="Arial" w:hAnsi="Arial" w:cs="Arial"/>
          <w:b/>
          <w:iCs/>
          <w:sz w:val="24"/>
          <w:szCs w:val="24"/>
          <w:lang w:val="gl-ES"/>
        </w:rPr>
        <w:t xml:space="preserve"> </w:t>
      </w:r>
      <w:r w:rsidR="008B7CF6" w:rsidRPr="008B7CF6">
        <w:rPr>
          <w:rFonts w:ascii="Arial" w:eastAsia="Times New Roman" w:hAnsi="Arial" w:cs="Arial"/>
          <w:iCs/>
          <w:sz w:val="24"/>
          <w:szCs w:val="24"/>
          <w:lang w:val="gl-ES"/>
        </w:rPr>
        <w:t>desaceleración dos ingresos e polo tanto dos gastos</w:t>
      </w:r>
      <w:r w:rsidR="00724403">
        <w:rPr>
          <w:rFonts w:ascii="Arial" w:eastAsia="Times New Roman" w:hAnsi="Arial" w:cs="Arial"/>
          <w:iCs/>
          <w:sz w:val="24"/>
          <w:szCs w:val="24"/>
          <w:lang w:val="gl-ES"/>
        </w:rPr>
        <w:t>. E</w:t>
      </w:r>
      <w:r>
        <w:rPr>
          <w:rFonts w:ascii="Arial" w:hAnsi="Arial" w:cs="Arial"/>
          <w:iCs/>
          <w:sz w:val="24"/>
          <w:szCs w:val="24"/>
          <w:lang w:val="gl-ES"/>
        </w:rPr>
        <w:t xml:space="preserve">sta caída dos gastos afectou a programas </w:t>
      </w:r>
      <w:r w:rsidR="008B7CF6" w:rsidRPr="008B7CF6">
        <w:rPr>
          <w:rFonts w:ascii="Arial" w:eastAsia="Times New Roman" w:hAnsi="Arial" w:cs="Arial"/>
          <w:iCs/>
          <w:sz w:val="24"/>
          <w:szCs w:val="24"/>
          <w:lang w:val="gl-ES"/>
        </w:rPr>
        <w:t xml:space="preserve">que teñen especial relevancia no emprego feminino e na situación da muller, </w:t>
      </w:r>
      <w:r w:rsidR="00724403">
        <w:rPr>
          <w:rFonts w:ascii="Arial" w:eastAsia="Times New Roman" w:hAnsi="Arial" w:cs="Arial"/>
          <w:iCs/>
          <w:sz w:val="24"/>
          <w:szCs w:val="24"/>
          <w:lang w:val="gl-ES"/>
        </w:rPr>
        <w:t xml:space="preserve">como </w:t>
      </w:r>
      <w:r w:rsidR="008B7CF6" w:rsidRPr="008B7CF6">
        <w:rPr>
          <w:rFonts w:ascii="Arial" w:eastAsia="Times New Roman" w:hAnsi="Arial" w:cs="Arial"/>
          <w:iCs/>
          <w:sz w:val="24"/>
          <w:szCs w:val="24"/>
          <w:lang w:val="gl-ES"/>
        </w:rPr>
        <w:t>son, entre outros,</w:t>
      </w:r>
      <w:r w:rsidR="00724403">
        <w:rPr>
          <w:rFonts w:ascii="Arial" w:eastAsia="Times New Roman" w:hAnsi="Arial" w:cs="Arial"/>
          <w:iCs/>
          <w:sz w:val="24"/>
          <w:szCs w:val="24"/>
          <w:lang w:val="gl-ES"/>
        </w:rPr>
        <w:t xml:space="preserve"> </w:t>
      </w:r>
      <w:r w:rsidR="008B7CF6" w:rsidRPr="008B7CF6">
        <w:rPr>
          <w:rFonts w:ascii="Arial" w:eastAsia="Times New Roman" w:hAnsi="Arial" w:cs="Arial"/>
          <w:iCs/>
          <w:sz w:val="24"/>
          <w:szCs w:val="24"/>
          <w:lang w:val="gl-ES"/>
        </w:rPr>
        <w:t>t</w:t>
      </w:r>
      <w:r w:rsidR="00724403">
        <w:rPr>
          <w:rFonts w:ascii="Arial" w:eastAsia="Times New Roman" w:hAnsi="Arial" w:cs="Arial"/>
          <w:iCs/>
          <w:sz w:val="24"/>
          <w:szCs w:val="24"/>
          <w:lang w:val="gl-ES"/>
        </w:rPr>
        <w:t>odos os</w:t>
      </w:r>
      <w:r w:rsidR="008B7CF6" w:rsidRPr="008B7CF6">
        <w:rPr>
          <w:rFonts w:ascii="Arial" w:eastAsia="Times New Roman" w:hAnsi="Arial" w:cs="Arial"/>
          <w:iCs/>
          <w:sz w:val="24"/>
          <w:szCs w:val="24"/>
          <w:lang w:val="gl-ES"/>
        </w:rPr>
        <w:t xml:space="preserve"> relacionados cos servizos sociais e o desenvolvemento do estado de benestar, e non debemos esquecer que todo o que deixa de proporcionar o estado </w:t>
      </w:r>
      <w:r w:rsidR="00724403">
        <w:rPr>
          <w:rFonts w:ascii="Arial" w:eastAsia="Times New Roman" w:hAnsi="Arial" w:cs="Arial"/>
          <w:iCs/>
          <w:sz w:val="24"/>
          <w:szCs w:val="24"/>
          <w:lang w:val="gl-ES"/>
        </w:rPr>
        <w:t>acaban por asumilo</w:t>
      </w:r>
      <w:r w:rsidR="008B7CF6" w:rsidRPr="008B7CF6">
        <w:rPr>
          <w:rFonts w:ascii="Arial" w:eastAsia="Times New Roman" w:hAnsi="Arial" w:cs="Arial"/>
          <w:iCs/>
          <w:sz w:val="24"/>
          <w:szCs w:val="24"/>
          <w:lang w:val="gl-ES"/>
        </w:rPr>
        <w:t xml:space="preserve"> as mulleres con maiores cantidades de traballo.</w:t>
      </w:r>
    </w:p>
    <w:p w:rsidR="00603C15" w:rsidRDefault="00F84636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Son, polo tanto, moitas as razóns que xustifican esta folga desde o punto de vista estritamente laboral; se </w:t>
      </w:r>
      <w:r w:rsidR="00724403">
        <w:rPr>
          <w:rFonts w:ascii="Arial" w:hAnsi="Arial" w:cs="Arial"/>
          <w:sz w:val="24"/>
          <w:szCs w:val="24"/>
          <w:lang w:val="gl-ES"/>
        </w:rPr>
        <w:t>xa entramos no</w:t>
      </w:r>
      <w:r>
        <w:rPr>
          <w:rFonts w:ascii="Arial" w:hAnsi="Arial" w:cs="Arial"/>
          <w:sz w:val="24"/>
          <w:szCs w:val="24"/>
          <w:lang w:val="gl-ES"/>
        </w:rPr>
        <w:t xml:space="preserve"> plano social, </w:t>
      </w:r>
      <w:r w:rsidR="00724403">
        <w:rPr>
          <w:rFonts w:ascii="Arial" w:hAnsi="Arial" w:cs="Arial"/>
          <w:sz w:val="24"/>
          <w:szCs w:val="24"/>
          <w:lang w:val="gl-ES"/>
        </w:rPr>
        <w:t>os motivos</w:t>
      </w:r>
      <w:r>
        <w:rPr>
          <w:rFonts w:ascii="Arial" w:hAnsi="Arial" w:cs="Arial"/>
          <w:sz w:val="24"/>
          <w:szCs w:val="24"/>
          <w:lang w:val="gl-ES"/>
        </w:rPr>
        <w:t xml:space="preserve"> multiplícanse.</w:t>
      </w:r>
    </w:p>
    <w:p w:rsidR="00724C5C" w:rsidRDefault="00724C5C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Unha das discriminacións máis vis</w:t>
      </w:r>
      <w:r w:rsidR="00724403">
        <w:rPr>
          <w:rFonts w:ascii="Arial" w:hAnsi="Arial" w:cs="Arial"/>
          <w:sz w:val="24"/>
          <w:szCs w:val="24"/>
          <w:lang w:val="gl-ES"/>
        </w:rPr>
        <w:t>íbei</w:t>
      </w:r>
      <w:r>
        <w:rPr>
          <w:rFonts w:ascii="Arial" w:hAnsi="Arial" w:cs="Arial"/>
          <w:sz w:val="24"/>
          <w:szCs w:val="24"/>
          <w:lang w:val="gl-ES"/>
        </w:rPr>
        <w:t>s entre sexos é a fenda salarial</w:t>
      </w:r>
      <w:r w:rsidR="00724403">
        <w:rPr>
          <w:rFonts w:ascii="Arial" w:hAnsi="Arial" w:cs="Arial"/>
          <w:sz w:val="24"/>
          <w:szCs w:val="24"/>
          <w:lang w:val="gl-ES"/>
        </w:rPr>
        <w:t>. D</w:t>
      </w:r>
      <w:r>
        <w:rPr>
          <w:rFonts w:ascii="Arial" w:hAnsi="Arial" w:cs="Arial"/>
          <w:sz w:val="24"/>
          <w:szCs w:val="24"/>
          <w:lang w:val="gl-ES"/>
        </w:rPr>
        <w:t xml:space="preserve">e media, as mulleres percibiron un 22,3% de ingresos menos que os homes no ano 2016 en </w:t>
      </w:r>
      <w:r>
        <w:rPr>
          <w:rFonts w:ascii="Arial" w:hAnsi="Arial" w:cs="Arial"/>
          <w:sz w:val="24"/>
          <w:szCs w:val="24"/>
          <w:lang w:val="gl-ES"/>
        </w:rPr>
        <w:lastRenderedPageBreak/>
        <w:t>G</w:t>
      </w:r>
      <w:r w:rsidR="00B533CD">
        <w:rPr>
          <w:rFonts w:ascii="Arial" w:hAnsi="Arial" w:cs="Arial"/>
          <w:sz w:val="24"/>
          <w:szCs w:val="24"/>
          <w:lang w:val="gl-ES"/>
        </w:rPr>
        <w:t>aliza</w:t>
      </w:r>
      <w:r>
        <w:rPr>
          <w:rFonts w:ascii="Arial" w:hAnsi="Arial" w:cs="Arial"/>
          <w:sz w:val="24"/>
          <w:szCs w:val="24"/>
          <w:lang w:val="gl-ES"/>
        </w:rPr>
        <w:t>, un trato privilexiado que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>
        <w:rPr>
          <w:rFonts w:ascii="Arial" w:hAnsi="Arial" w:cs="Arial"/>
          <w:sz w:val="24"/>
          <w:szCs w:val="24"/>
          <w:lang w:val="gl-ES"/>
        </w:rPr>
        <w:t xml:space="preserve">o mercado laboral ofrece </w:t>
      </w:r>
      <w:r w:rsidR="00B533CD">
        <w:rPr>
          <w:rFonts w:ascii="Arial" w:hAnsi="Arial" w:cs="Arial"/>
          <w:sz w:val="24"/>
          <w:szCs w:val="24"/>
          <w:lang w:val="gl-ES"/>
        </w:rPr>
        <w:t>a</w:t>
      </w:r>
      <w:r>
        <w:rPr>
          <w:rFonts w:ascii="Arial" w:hAnsi="Arial" w:cs="Arial"/>
          <w:sz w:val="24"/>
          <w:szCs w:val="24"/>
          <w:lang w:val="gl-ES"/>
        </w:rPr>
        <w:t>os homes e que ten causas diversas e complexas algunhas, pero non por iso se debe de deixar de combater con especial virulencia.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>
        <w:rPr>
          <w:rFonts w:ascii="Arial" w:hAnsi="Arial" w:cs="Arial"/>
          <w:sz w:val="24"/>
          <w:szCs w:val="24"/>
          <w:lang w:val="gl-ES"/>
        </w:rPr>
        <w:t>A feminización de empregos máis precarios e con salarios máis baixos, complementos discrecionais, acceso minoritario de mulleres a postos de al</w:t>
      </w:r>
      <w:r w:rsidR="00B533CD">
        <w:rPr>
          <w:rFonts w:ascii="Arial" w:hAnsi="Arial" w:cs="Arial"/>
          <w:sz w:val="24"/>
          <w:szCs w:val="24"/>
          <w:lang w:val="gl-ES"/>
        </w:rPr>
        <w:t>t</w:t>
      </w:r>
      <w:r>
        <w:rPr>
          <w:rFonts w:ascii="Arial" w:hAnsi="Arial" w:cs="Arial"/>
          <w:sz w:val="24"/>
          <w:szCs w:val="24"/>
          <w:lang w:val="gl-ES"/>
        </w:rPr>
        <w:t xml:space="preserve">a responsabilidade, </w:t>
      </w:r>
      <w:r w:rsidR="00C467B4">
        <w:rPr>
          <w:rFonts w:ascii="Arial" w:hAnsi="Arial" w:cs="Arial"/>
          <w:sz w:val="24"/>
          <w:szCs w:val="24"/>
          <w:lang w:val="gl-ES"/>
        </w:rPr>
        <w:t>maior presenza dos contratos a tempo parcial nas mulleres</w:t>
      </w:r>
      <w:r w:rsidR="00B533CD">
        <w:rPr>
          <w:rFonts w:ascii="Arial" w:hAnsi="Arial" w:cs="Arial"/>
          <w:sz w:val="24"/>
          <w:szCs w:val="24"/>
          <w:lang w:val="gl-ES"/>
        </w:rPr>
        <w:t xml:space="preserve">, etc., </w:t>
      </w:r>
      <w:r w:rsidR="00C467B4">
        <w:rPr>
          <w:rFonts w:ascii="Arial" w:hAnsi="Arial" w:cs="Arial"/>
          <w:sz w:val="24"/>
          <w:szCs w:val="24"/>
          <w:lang w:val="gl-ES"/>
        </w:rPr>
        <w:t>levan a esta desigualdade.</w:t>
      </w:r>
    </w:p>
    <w:p w:rsidR="00150A83" w:rsidRDefault="00150A83" w:rsidP="00A81E1A">
      <w:pPr>
        <w:jc w:val="both"/>
        <w:rPr>
          <w:rFonts w:ascii="Arial" w:hAnsi="Arial" w:cs="Arial"/>
          <w:sz w:val="24"/>
          <w:szCs w:val="24"/>
          <w:lang w:val="gl-ES"/>
        </w:rPr>
      </w:pPr>
    </w:p>
    <w:p w:rsidR="0067167C" w:rsidRDefault="0067167C" w:rsidP="0067167C">
      <w:pPr>
        <w:jc w:val="center"/>
        <w:rPr>
          <w:rFonts w:ascii="Arial" w:hAnsi="Arial" w:cs="Arial"/>
          <w:b/>
          <w:sz w:val="24"/>
          <w:szCs w:val="24"/>
          <w:lang w:val="gl-ES"/>
        </w:rPr>
      </w:pPr>
      <w:r w:rsidRPr="0067167C">
        <w:rPr>
          <w:rFonts w:ascii="Arial" w:hAnsi="Arial" w:cs="Arial"/>
          <w:b/>
          <w:sz w:val="24"/>
          <w:szCs w:val="24"/>
          <w:lang w:val="gl-ES"/>
        </w:rPr>
        <w:t xml:space="preserve">A </w:t>
      </w:r>
      <w:r w:rsidR="00B533CD">
        <w:rPr>
          <w:rFonts w:ascii="Arial" w:hAnsi="Arial" w:cs="Arial"/>
          <w:b/>
          <w:sz w:val="24"/>
          <w:szCs w:val="24"/>
          <w:lang w:val="gl-ES"/>
        </w:rPr>
        <w:t>fenda</w:t>
      </w:r>
      <w:r w:rsidRPr="0067167C">
        <w:rPr>
          <w:rFonts w:ascii="Arial" w:hAnsi="Arial" w:cs="Arial"/>
          <w:b/>
          <w:sz w:val="24"/>
          <w:szCs w:val="24"/>
          <w:lang w:val="gl-ES"/>
        </w:rPr>
        <w:t xml:space="preserve"> salarial é do 22,3% en G</w:t>
      </w:r>
      <w:r w:rsidR="00B533CD">
        <w:rPr>
          <w:rFonts w:ascii="Arial" w:hAnsi="Arial" w:cs="Arial"/>
          <w:b/>
          <w:sz w:val="24"/>
          <w:szCs w:val="24"/>
          <w:lang w:val="gl-ES"/>
        </w:rPr>
        <w:t>aliza</w:t>
      </w:r>
    </w:p>
    <w:p w:rsidR="008F3E6B" w:rsidRDefault="002C24F9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S</w:t>
      </w:r>
      <w:r w:rsidR="00B533CD">
        <w:rPr>
          <w:rFonts w:ascii="Arial" w:hAnsi="Arial" w:cs="Arial"/>
          <w:sz w:val="24"/>
          <w:szCs w:val="24"/>
          <w:lang w:val="gl-ES"/>
        </w:rPr>
        <w:t>egundo os datos da A</w:t>
      </w:r>
      <w:r w:rsidR="00B647E2">
        <w:rPr>
          <w:rFonts w:ascii="Arial" w:hAnsi="Arial" w:cs="Arial"/>
          <w:sz w:val="24"/>
          <w:szCs w:val="24"/>
          <w:lang w:val="gl-ES"/>
        </w:rPr>
        <w:t xml:space="preserve">xencia </w:t>
      </w:r>
      <w:r w:rsidR="00B533CD">
        <w:rPr>
          <w:rFonts w:ascii="Arial" w:hAnsi="Arial" w:cs="Arial"/>
          <w:sz w:val="24"/>
          <w:szCs w:val="24"/>
          <w:lang w:val="gl-ES"/>
        </w:rPr>
        <w:t>T</w:t>
      </w:r>
      <w:r w:rsidR="00B647E2">
        <w:rPr>
          <w:rFonts w:ascii="Arial" w:hAnsi="Arial" w:cs="Arial"/>
          <w:sz w:val="24"/>
          <w:szCs w:val="24"/>
          <w:lang w:val="gl-ES"/>
        </w:rPr>
        <w:t xml:space="preserve">ributaria, durante o ano 2016, a </w:t>
      </w:r>
      <w:r w:rsidR="00B533CD">
        <w:rPr>
          <w:rFonts w:ascii="Arial" w:hAnsi="Arial" w:cs="Arial"/>
          <w:sz w:val="24"/>
          <w:szCs w:val="24"/>
          <w:lang w:val="gl-ES"/>
        </w:rPr>
        <w:t>fenda</w:t>
      </w:r>
      <w:r w:rsidR="00B647E2">
        <w:rPr>
          <w:rFonts w:ascii="Arial" w:hAnsi="Arial" w:cs="Arial"/>
          <w:sz w:val="24"/>
          <w:szCs w:val="24"/>
          <w:lang w:val="gl-ES"/>
        </w:rPr>
        <w:t xml:space="preserve"> salarial entre homes e mulleres </w:t>
      </w:r>
      <w:r w:rsidR="008F3E6B">
        <w:rPr>
          <w:rFonts w:ascii="Arial" w:hAnsi="Arial" w:cs="Arial"/>
          <w:sz w:val="24"/>
          <w:szCs w:val="24"/>
          <w:lang w:val="gl-ES"/>
        </w:rPr>
        <w:t>situouse</w:t>
      </w:r>
      <w:r w:rsidR="00B647E2">
        <w:rPr>
          <w:rFonts w:ascii="Arial" w:hAnsi="Arial" w:cs="Arial"/>
          <w:sz w:val="24"/>
          <w:szCs w:val="24"/>
          <w:lang w:val="gl-ES"/>
        </w:rPr>
        <w:t xml:space="preserve"> no 22,3%</w:t>
      </w:r>
      <w:r>
        <w:rPr>
          <w:rFonts w:ascii="Arial" w:hAnsi="Arial" w:cs="Arial"/>
          <w:sz w:val="24"/>
          <w:szCs w:val="24"/>
          <w:lang w:val="gl-ES"/>
        </w:rPr>
        <w:t xml:space="preserve"> en G</w:t>
      </w:r>
      <w:r w:rsidR="00B533CD">
        <w:rPr>
          <w:rFonts w:ascii="Arial" w:hAnsi="Arial" w:cs="Arial"/>
          <w:sz w:val="24"/>
          <w:szCs w:val="24"/>
          <w:lang w:val="gl-ES"/>
        </w:rPr>
        <w:t>aliza</w:t>
      </w:r>
      <w:r w:rsidR="00B647E2">
        <w:rPr>
          <w:rFonts w:ascii="Arial" w:hAnsi="Arial" w:cs="Arial"/>
          <w:sz w:val="24"/>
          <w:szCs w:val="24"/>
          <w:lang w:val="gl-ES"/>
        </w:rPr>
        <w:t xml:space="preserve">, </w:t>
      </w:r>
      <w:r w:rsidR="008F3E6B">
        <w:rPr>
          <w:rFonts w:ascii="Arial" w:hAnsi="Arial" w:cs="Arial"/>
          <w:sz w:val="24"/>
          <w:szCs w:val="24"/>
          <w:lang w:val="gl-ES"/>
        </w:rPr>
        <w:t>dúas d</w:t>
      </w:r>
      <w:r w:rsidR="00B533CD">
        <w:rPr>
          <w:rFonts w:ascii="Arial" w:hAnsi="Arial" w:cs="Arial"/>
          <w:sz w:val="24"/>
          <w:szCs w:val="24"/>
          <w:lang w:val="gl-ES"/>
        </w:rPr>
        <w:t>écimas máis que o ano anterior. A</w:t>
      </w:r>
      <w:r w:rsidR="008F3E6B">
        <w:rPr>
          <w:rFonts w:ascii="Arial" w:hAnsi="Arial" w:cs="Arial"/>
          <w:sz w:val="24"/>
          <w:szCs w:val="24"/>
          <w:lang w:val="gl-ES"/>
        </w:rPr>
        <w:t xml:space="preserve"> evolución desde o ano 2008 foi como segue:</w:t>
      </w:r>
    </w:p>
    <w:tbl>
      <w:tblPr>
        <w:tblStyle w:val="Sombreadoclaro-nfasis4"/>
        <w:tblpPr w:leftFromText="180" w:rightFromText="180" w:vertAnchor="text" w:horzAnchor="margin" w:tblpY="570"/>
        <w:tblW w:w="3839" w:type="dxa"/>
        <w:tblLook w:val="04A0"/>
      </w:tblPr>
      <w:tblGrid>
        <w:gridCol w:w="2479"/>
        <w:gridCol w:w="1360"/>
      </w:tblGrid>
      <w:tr w:rsidR="008F3E6B" w:rsidRPr="00B0339D" w:rsidTr="008F3E6B">
        <w:trPr>
          <w:cnfStyle w:val="100000000000"/>
          <w:trHeight w:val="278"/>
        </w:trPr>
        <w:tc>
          <w:tcPr>
            <w:cnfStyle w:val="001000000000"/>
            <w:tcW w:w="2479" w:type="dxa"/>
            <w:noWrap/>
            <w:hideMark/>
          </w:tcPr>
          <w:p w:rsidR="008F3E6B" w:rsidRPr="00B0339D" w:rsidRDefault="00B533CD" w:rsidP="008F3E6B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>fenda</w:t>
            </w:r>
            <w:r w:rsidR="008F3E6B" w:rsidRPr="00B0339D"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salarial</w:t>
            </w:r>
          </w:p>
        </w:tc>
        <w:tc>
          <w:tcPr>
            <w:tcW w:w="1360" w:type="dxa"/>
            <w:noWrap/>
            <w:hideMark/>
          </w:tcPr>
          <w:p w:rsidR="008F3E6B" w:rsidRPr="00B0339D" w:rsidRDefault="008F3E6B" w:rsidP="008F3E6B">
            <w:pPr>
              <w:cnfStyle w:val="1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</w:p>
        </w:tc>
      </w:tr>
      <w:tr w:rsidR="008F3E6B" w:rsidRPr="00B0339D" w:rsidTr="008F3E6B">
        <w:trPr>
          <w:cnfStyle w:val="000000100000"/>
          <w:trHeight w:val="278"/>
        </w:trPr>
        <w:tc>
          <w:tcPr>
            <w:cnfStyle w:val="001000000000"/>
            <w:tcW w:w="2479" w:type="dxa"/>
            <w:hideMark/>
          </w:tcPr>
          <w:p w:rsidR="008F3E6B" w:rsidRPr="00B0339D" w:rsidRDefault="00724403" w:rsidP="008F3E6B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        </w:t>
            </w:r>
            <w:r w:rsidR="008F3E6B" w:rsidRPr="00B0339D">
              <w:rPr>
                <w:rFonts w:ascii="Calibri" w:eastAsia="Times New Roman" w:hAnsi="Calibri" w:cs="Times New Roman"/>
                <w:color w:val="000000"/>
                <w:lang w:val="gl-ES"/>
              </w:rPr>
              <w:t>2008</w:t>
            </w:r>
          </w:p>
        </w:tc>
        <w:tc>
          <w:tcPr>
            <w:tcW w:w="1360" w:type="dxa"/>
            <w:noWrap/>
            <w:hideMark/>
          </w:tcPr>
          <w:p w:rsidR="008F3E6B" w:rsidRPr="00B0339D" w:rsidRDefault="008F3E6B" w:rsidP="008F3E6B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0339D">
              <w:rPr>
                <w:rFonts w:ascii="Calibri" w:eastAsia="Times New Roman" w:hAnsi="Calibri" w:cs="Times New Roman"/>
                <w:color w:val="000000"/>
                <w:lang w:val="gl-ES"/>
              </w:rPr>
              <w:t>25,5</w:t>
            </w:r>
            <w:r w:rsidR="0054516C">
              <w:rPr>
                <w:rFonts w:ascii="Calibri" w:eastAsia="Times New Roman" w:hAnsi="Calibri" w:cs="Times New Roman"/>
                <w:color w:val="000000"/>
                <w:lang w:val="gl-ES"/>
              </w:rPr>
              <w:t>%</w:t>
            </w:r>
          </w:p>
        </w:tc>
      </w:tr>
      <w:tr w:rsidR="008F3E6B" w:rsidRPr="00B0339D" w:rsidTr="008F3E6B">
        <w:trPr>
          <w:trHeight w:val="278"/>
        </w:trPr>
        <w:tc>
          <w:tcPr>
            <w:cnfStyle w:val="001000000000"/>
            <w:tcW w:w="2479" w:type="dxa"/>
            <w:hideMark/>
          </w:tcPr>
          <w:p w:rsidR="008F3E6B" w:rsidRPr="00B0339D" w:rsidRDefault="00724403" w:rsidP="008F3E6B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        </w:t>
            </w:r>
            <w:r w:rsidR="008F3E6B" w:rsidRPr="00B0339D">
              <w:rPr>
                <w:rFonts w:ascii="Calibri" w:eastAsia="Times New Roman" w:hAnsi="Calibri" w:cs="Times New Roman"/>
                <w:color w:val="000000"/>
                <w:lang w:val="gl-ES"/>
              </w:rPr>
              <w:t>2009</w:t>
            </w:r>
          </w:p>
        </w:tc>
        <w:tc>
          <w:tcPr>
            <w:tcW w:w="1360" w:type="dxa"/>
            <w:noWrap/>
            <w:hideMark/>
          </w:tcPr>
          <w:p w:rsidR="008F3E6B" w:rsidRPr="00B0339D" w:rsidRDefault="008F3E6B" w:rsidP="008F3E6B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0339D">
              <w:rPr>
                <w:rFonts w:ascii="Calibri" w:eastAsia="Times New Roman" w:hAnsi="Calibri" w:cs="Times New Roman"/>
                <w:color w:val="000000"/>
                <w:lang w:val="gl-ES"/>
              </w:rPr>
              <w:t>23,1</w:t>
            </w:r>
            <w:r w:rsidR="0054516C">
              <w:rPr>
                <w:rFonts w:ascii="Calibri" w:eastAsia="Times New Roman" w:hAnsi="Calibri" w:cs="Times New Roman"/>
                <w:color w:val="000000"/>
                <w:lang w:val="gl-ES"/>
              </w:rPr>
              <w:t>%</w:t>
            </w:r>
          </w:p>
        </w:tc>
      </w:tr>
      <w:tr w:rsidR="008F3E6B" w:rsidRPr="00B0339D" w:rsidTr="008F3E6B">
        <w:trPr>
          <w:cnfStyle w:val="000000100000"/>
          <w:trHeight w:val="278"/>
        </w:trPr>
        <w:tc>
          <w:tcPr>
            <w:cnfStyle w:val="001000000000"/>
            <w:tcW w:w="2479" w:type="dxa"/>
            <w:hideMark/>
          </w:tcPr>
          <w:p w:rsidR="008F3E6B" w:rsidRPr="00B0339D" w:rsidRDefault="00724403" w:rsidP="008F3E6B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        </w:t>
            </w:r>
            <w:r w:rsidR="008F3E6B" w:rsidRPr="00B0339D">
              <w:rPr>
                <w:rFonts w:ascii="Calibri" w:eastAsia="Times New Roman" w:hAnsi="Calibri" w:cs="Times New Roman"/>
                <w:color w:val="000000"/>
                <w:lang w:val="gl-ES"/>
              </w:rPr>
              <w:t>2010</w:t>
            </w:r>
          </w:p>
        </w:tc>
        <w:tc>
          <w:tcPr>
            <w:tcW w:w="1360" w:type="dxa"/>
            <w:noWrap/>
            <w:hideMark/>
          </w:tcPr>
          <w:p w:rsidR="008F3E6B" w:rsidRPr="00B0339D" w:rsidRDefault="008F3E6B" w:rsidP="008F3E6B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0339D">
              <w:rPr>
                <w:rFonts w:ascii="Calibri" w:eastAsia="Times New Roman" w:hAnsi="Calibri" w:cs="Times New Roman"/>
                <w:color w:val="000000"/>
                <w:lang w:val="gl-ES"/>
              </w:rPr>
              <w:t>23,0</w:t>
            </w:r>
            <w:r w:rsidR="0054516C">
              <w:rPr>
                <w:rFonts w:ascii="Calibri" w:eastAsia="Times New Roman" w:hAnsi="Calibri" w:cs="Times New Roman"/>
                <w:color w:val="000000"/>
                <w:lang w:val="gl-ES"/>
              </w:rPr>
              <w:t>%</w:t>
            </w:r>
          </w:p>
        </w:tc>
      </w:tr>
      <w:tr w:rsidR="008F3E6B" w:rsidRPr="00B0339D" w:rsidTr="008F3E6B">
        <w:trPr>
          <w:trHeight w:val="278"/>
        </w:trPr>
        <w:tc>
          <w:tcPr>
            <w:cnfStyle w:val="001000000000"/>
            <w:tcW w:w="2479" w:type="dxa"/>
            <w:hideMark/>
          </w:tcPr>
          <w:p w:rsidR="008F3E6B" w:rsidRPr="00B0339D" w:rsidRDefault="00724403" w:rsidP="008F3E6B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        </w:t>
            </w:r>
            <w:r w:rsidR="008F3E6B" w:rsidRPr="00B0339D">
              <w:rPr>
                <w:rFonts w:ascii="Calibri" w:eastAsia="Times New Roman" w:hAnsi="Calibri" w:cs="Times New Roman"/>
                <w:color w:val="000000"/>
                <w:lang w:val="gl-ES"/>
              </w:rPr>
              <w:t>2011</w:t>
            </w:r>
          </w:p>
        </w:tc>
        <w:tc>
          <w:tcPr>
            <w:tcW w:w="1360" w:type="dxa"/>
            <w:noWrap/>
            <w:hideMark/>
          </w:tcPr>
          <w:p w:rsidR="008F3E6B" w:rsidRPr="00B0339D" w:rsidRDefault="008F3E6B" w:rsidP="008F3E6B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0339D">
              <w:rPr>
                <w:rFonts w:ascii="Calibri" w:eastAsia="Times New Roman" w:hAnsi="Calibri" w:cs="Times New Roman"/>
                <w:color w:val="000000"/>
                <w:lang w:val="gl-ES"/>
              </w:rPr>
              <w:t>23,1</w:t>
            </w:r>
            <w:r w:rsidR="0054516C">
              <w:rPr>
                <w:rFonts w:ascii="Calibri" w:eastAsia="Times New Roman" w:hAnsi="Calibri" w:cs="Times New Roman"/>
                <w:color w:val="000000"/>
                <w:lang w:val="gl-ES"/>
              </w:rPr>
              <w:t>%</w:t>
            </w:r>
          </w:p>
        </w:tc>
      </w:tr>
      <w:tr w:rsidR="008F3E6B" w:rsidRPr="00B0339D" w:rsidTr="008F3E6B">
        <w:trPr>
          <w:cnfStyle w:val="000000100000"/>
          <w:trHeight w:val="278"/>
        </w:trPr>
        <w:tc>
          <w:tcPr>
            <w:cnfStyle w:val="001000000000"/>
            <w:tcW w:w="2479" w:type="dxa"/>
            <w:hideMark/>
          </w:tcPr>
          <w:p w:rsidR="008F3E6B" w:rsidRPr="00B0339D" w:rsidRDefault="00724403" w:rsidP="008F3E6B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        </w:t>
            </w:r>
            <w:r w:rsidR="008F3E6B" w:rsidRPr="00B0339D">
              <w:rPr>
                <w:rFonts w:ascii="Calibri" w:eastAsia="Times New Roman" w:hAnsi="Calibri" w:cs="Times New Roman"/>
                <w:color w:val="000000"/>
                <w:lang w:val="gl-ES"/>
              </w:rPr>
              <w:t>2012</w:t>
            </w:r>
          </w:p>
        </w:tc>
        <w:tc>
          <w:tcPr>
            <w:tcW w:w="1360" w:type="dxa"/>
            <w:noWrap/>
            <w:hideMark/>
          </w:tcPr>
          <w:p w:rsidR="008F3E6B" w:rsidRPr="00B0339D" w:rsidRDefault="008F3E6B" w:rsidP="008F3E6B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0339D">
              <w:rPr>
                <w:rFonts w:ascii="Calibri" w:eastAsia="Times New Roman" w:hAnsi="Calibri" w:cs="Times New Roman"/>
                <w:color w:val="000000"/>
                <w:lang w:val="gl-ES"/>
              </w:rPr>
              <w:t>23,3</w:t>
            </w:r>
            <w:r w:rsidR="0054516C">
              <w:rPr>
                <w:rFonts w:ascii="Calibri" w:eastAsia="Times New Roman" w:hAnsi="Calibri" w:cs="Times New Roman"/>
                <w:color w:val="000000"/>
                <w:lang w:val="gl-ES"/>
              </w:rPr>
              <w:t>%</w:t>
            </w:r>
          </w:p>
        </w:tc>
      </w:tr>
      <w:tr w:rsidR="008F3E6B" w:rsidRPr="00B0339D" w:rsidTr="008F3E6B">
        <w:trPr>
          <w:trHeight w:val="278"/>
        </w:trPr>
        <w:tc>
          <w:tcPr>
            <w:cnfStyle w:val="001000000000"/>
            <w:tcW w:w="2479" w:type="dxa"/>
            <w:hideMark/>
          </w:tcPr>
          <w:p w:rsidR="008F3E6B" w:rsidRPr="00B0339D" w:rsidRDefault="00724403" w:rsidP="008F3E6B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        </w:t>
            </w:r>
            <w:r w:rsidR="008F3E6B" w:rsidRPr="00B0339D">
              <w:rPr>
                <w:rFonts w:ascii="Calibri" w:eastAsia="Times New Roman" w:hAnsi="Calibri" w:cs="Times New Roman"/>
                <w:color w:val="000000"/>
                <w:lang w:val="gl-ES"/>
              </w:rPr>
              <w:t>2013</w:t>
            </w:r>
          </w:p>
        </w:tc>
        <w:tc>
          <w:tcPr>
            <w:tcW w:w="1360" w:type="dxa"/>
            <w:noWrap/>
            <w:hideMark/>
          </w:tcPr>
          <w:p w:rsidR="008F3E6B" w:rsidRPr="00B0339D" w:rsidRDefault="008F3E6B" w:rsidP="008F3E6B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0339D">
              <w:rPr>
                <w:rFonts w:ascii="Calibri" w:eastAsia="Times New Roman" w:hAnsi="Calibri" w:cs="Times New Roman"/>
                <w:color w:val="000000"/>
                <w:lang w:val="gl-ES"/>
              </w:rPr>
              <w:t>22,4</w:t>
            </w:r>
            <w:r w:rsidR="0054516C">
              <w:rPr>
                <w:rFonts w:ascii="Calibri" w:eastAsia="Times New Roman" w:hAnsi="Calibri" w:cs="Times New Roman"/>
                <w:color w:val="000000"/>
                <w:lang w:val="gl-ES"/>
              </w:rPr>
              <w:t>%</w:t>
            </w:r>
          </w:p>
        </w:tc>
      </w:tr>
      <w:tr w:rsidR="008F3E6B" w:rsidRPr="00B0339D" w:rsidTr="008F3E6B">
        <w:trPr>
          <w:cnfStyle w:val="000000100000"/>
          <w:trHeight w:val="278"/>
        </w:trPr>
        <w:tc>
          <w:tcPr>
            <w:cnfStyle w:val="001000000000"/>
            <w:tcW w:w="2479" w:type="dxa"/>
            <w:hideMark/>
          </w:tcPr>
          <w:p w:rsidR="008F3E6B" w:rsidRPr="00B0339D" w:rsidRDefault="00724403" w:rsidP="008F3E6B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        </w:t>
            </w:r>
            <w:r w:rsidR="008F3E6B" w:rsidRPr="00B0339D">
              <w:rPr>
                <w:rFonts w:ascii="Calibri" w:eastAsia="Times New Roman" w:hAnsi="Calibri" w:cs="Times New Roman"/>
                <w:color w:val="000000"/>
                <w:lang w:val="gl-ES"/>
              </w:rPr>
              <w:t>2014</w:t>
            </w:r>
          </w:p>
        </w:tc>
        <w:tc>
          <w:tcPr>
            <w:tcW w:w="1360" w:type="dxa"/>
            <w:noWrap/>
            <w:hideMark/>
          </w:tcPr>
          <w:p w:rsidR="008F3E6B" w:rsidRPr="00B0339D" w:rsidRDefault="008F3E6B" w:rsidP="008F3E6B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0339D">
              <w:rPr>
                <w:rFonts w:ascii="Calibri" w:eastAsia="Times New Roman" w:hAnsi="Calibri" w:cs="Times New Roman"/>
                <w:color w:val="000000"/>
                <w:lang w:val="gl-ES"/>
              </w:rPr>
              <w:t>21,9</w:t>
            </w:r>
            <w:r w:rsidR="0054516C">
              <w:rPr>
                <w:rFonts w:ascii="Calibri" w:eastAsia="Times New Roman" w:hAnsi="Calibri" w:cs="Times New Roman"/>
                <w:color w:val="000000"/>
                <w:lang w:val="gl-ES"/>
              </w:rPr>
              <w:t>%</w:t>
            </w:r>
          </w:p>
        </w:tc>
      </w:tr>
      <w:tr w:rsidR="008F3E6B" w:rsidRPr="00B0339D" w:rsidTr="008F3E6B">
        <w:trPr>
          <w:trHeight w:val="278"/>
        </w:trPr>
        <w:tc>
          <w:tcPr>
            <w:cnfStyle w:val="001000000000"/>
            <w:tcW w:w="2479" w:type="dxa"/>
            <w:hideMark/>
          </w:tcPr>
          <w:p w:rsidR="008F3E6B" w:rsidRPr="00B0339D" w:rsidRDefault="00724403" w:rsidP="008F3E6B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        </w:t>
            </w:r>
            <w:r w:rsidR="008F3E6B" w:rsidRPr="00B0339D">
              <w:rPr>
                <w:rFonts w:ascii="Calibri" w:eastAsia="Times New Roman" w:hAnsi="Calibri" w:cs="Times New Roman"/>
                <w:color w:val="000000"/>
                <w:lang w:val="gl-ES"/>
              </w:rPr>
              <w:t>2015</w:t>
            </w:r>
          </w:p>
        </w:tc>
        <w:tc>
          <w:tcPr>
            <w:tcW w:w="1360" w:type="dxa"/>
            <w:noWrap/>
            <w:hideMark/>
          </w:tcPr>
          <w:p w:rsidR="008F3E6B" w:rsidRPr="00B0339D" w:rsidRDefault="008F3E6B" w:rsidP="008F3E6B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0339D">
              <w:rPr>
                <w:rFonts w:ascii="Calibri" w:eastAsia="Times New Roman" w:hAnsi="Calibri" w:cs="Times New Roman"/>
                <w:color w:val="000000"/>
                <w:lang w:val="gl-ES"/>
              </w:rPr>
              <w:t>22,1</w:t>
            </w:r>
            <w:r w:rsidR="0054516C">
              <w:rPr>
                <w:rFonts w:ascii="Calibri" w:eastAsia="Times New Roman" w:hAnsi="Calibri" w:cs="Times New Roman"/>
                <w:color w:val="000000"/>
                <w:lang w:val="gl-ES"/>
              </w:rPr>
              <w:t>%</w:t>
            </w:r>
          </w:p>
        </w:tc>
      </w:tr>
      <w:tr w:rsidR="008F3E6B" w:rsidRPr="00B0339D" w:rsidTr="008F3E6B">
        <w:trPr>
          <w:cnfStyle w:val="000000100000"/>
          <w:trHeight w:val="278"/>
        </w:trPr>
        <w:tc>
          <w:tcPr>
            <w:cnfStyle w:val="001000000000"/>
            <w:tcW w:w="2479" w:type="dxa"/>
            <w:hideMark/>
          </w:tcPr>
          <w:p w:rsidR="008F3E6B" w:rsidRPr="00B0339D" w:rsidRDefault="00724403" w:rsidP="008F3E6B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        </w:t>
            </w:r>
            <w:r w:rsidR="008F3E6B" w:rsidRPr="00B0339D">
              <w:rPr>
                <w:rFonts w:ascii="Calibri" w:eastAsia="Times New Roman" w:hAnsi="Calibri" w:cs="Times New Roman"/>
                <w:color w:val="000000"/>
                <w:lang w:val="gl-ES"/>
              </w:rPr>
              <w:t>2016</w:t>
            </w:r>
          </w:p>
        </w:tc>
        <w:tc>
          <w:tcPr>
            <w:tcW w:w="1360" w:type="dxa"/>
            <w:noWrap/>
            <w:hideMark/>
          </w:tcPr>
          <w:p w:rsidR="008F3E6B" w:rsidRPr="00B0339D" w:rsidRDefault="008F3E6B" w:rsidP="008F3E6B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0339D">
              <w:rPr>
                <w:rFonts w:ascii="Calibri" w:eastAsia="Times New Roman" w:hAnsi="Calibri" w:cs="Times New Roman"/>
                <w:color w:val="000000"/>
                <w:lang w:val="gl-ES"/>
              </w:rPr>
              <w:t>22,3</w:t>
            </w:r>
            <w:r w:rsidR="0054516C">
              <w:rPr>
                <w:rFonts w:ascii="Calibri" w:eastAsia="Times New Roman" w:hAnsi="Calibri" w:cs="Times New Roman"/>
                <w:color w:val="000000"/>
                <w:lang w:val="gl-ES"/>
              </w:rPr>
              <w:t>%</w:t>
            </w:r>
          </w:p>
        </w:tc>
      </w:tr>
    </w:tbl>
    <w:p w:rsidR="000D329A" w:rsidRDefault="008F3E6B" w:rsidP="008F3E6B">
      <w:pPr>
        <w:ind w:left="3600" w:firstLine="720"/>
        <w:jc w:val="both"/>
        <w:rPr>
          <w:rFonts w:ascii="Arial" w:hAnsi="Arial" w:cs="Arial"/>
          <w:sz w:val="24"/>
          <w:szCs w:val="24"/>
          <w:lang w:val="gl-ES"/>
        </w:rPr>
      </w:pPr>
      <w:r w:rsidRPr="008F3E6B"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3114675" cy="2152650"/>
            <wp:effectExtent l="19050" t="0" r="9525" b="0"/>
            <wp:docPr id="4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647E2" w:rsidRPr="00B533CD" w:rsidRDefault="001E3427" w:rsidP="00A81E1A">
      <w:pPr>
        <w:jc w:val="both"/>
        <w:rPr>
          <w:rFonts w:ascii="Arial" w:hAnsi="Arial" w:cs="Arial"/>
          <w:i/>
          <w:sz w:val="24"/>
          <w:szCs w:val="24"/>
          <w:lang w:val="gl-ES"/>
        </w:rPr>
      </w:pPr>
      <w:r w:rsidRPr="00B533CD">
        <w:rPr>
          <w:rFonts w:ascii="Arial" w:hAnsi="Arial" w:cs="Arial"/>
          <w:i/>
          <w:sz w:val="24"/>
          <w:szCs w:val="24"/>
          <w:lang w:val="gl-ES"/>
        </w:rPr>
        <w:t>Fonte: Elaboración propia</w:t>
      </w:r>
      <w:r w:rsidR="00724403" w:rsidRPr="00B533CD">
        <w:rPr>
          <w:rFonts w:ascii="Arial" w:hAnsi="Arial" w:cs="Arial"/>
          <w:i/>
          <w:sz w:val="24"/>
          <w:szCs w:val="24"/>
          <w:lang w:val="gl-ES"/>
        </w:rPr>
        <w:t xml:space="preserve"> </w:t>
      </w:r>
      <w:r w:rsidRPr="00B533CD">
        <w:rPr>
          <w:rFonts w:ascii="Arial" w:hAnsi="Arial" w:cs="Arial"/>
          <w:i/>
          <w:sz w:val="24"/>
          <w:szCs w:val="24"/>
          <w:lang w:val="gl-ES"/>
        </w:rPr>
        <w:t>a partir</w:t>
      </w:r>
      <w:r w:rsidR="008F3E6B" w:rsidRPr="00B533CD">
        <w:rPr>
          <w:rFonts w:ascii="Arial" w:hAnsi="Arial" w:cs="Arial"/>
          <w:i/>
          <w:sz w:val="24"/>
          <w:szCs w:val="24"/>
          <w:lang w:val="gl-ES"/>
        </w:rPr>
        <w:t xml:space="preserve"> dos datos da Axencia </w:t>
      </w:r>
      <w:r w:rsidR="00B533CD" w:rsidRPr="00B533CD">
        <w:rPr>
          <w:rFonts w:ascii="Arial" w:hAnsi="Arial" w:cs="Arial"/>
          <w:i/>
          <w:sz w:val="24"/>
          <w:szCs w:val="24"/>
          <w:lang w:val="gl-ES"/>
        </w:rPr>
        <w:t>T</w:t>
      </w:r>
      <w:r w:rsidR="008F3E6B" w:rsidRPr="00B533CD">
        <w:rPr>
          <w:rFonts w:ascii="Arial" w:hAnsi="Arial" w:cs="Arial"/>
          <w:i/>
          <w:sz w:val="24"/>
          <w:szCs w:val="24"/>
          <w:lang w:val="gl-ES"/>
        </w:rPr>
        <w:t>ributaria.</w:t>
      </w:r>
    </w:p>
    <w:p w:rsidR="00DD67F5" w:rsidRDefault="00732F3D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Nun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 w:rsidRPr="00732F3D">
        <w:rPr>
          <w:rFonts w:ascii="Arial" w:hAnsi="Arial" w:cs="Arial"/>
          <w:sz w:val="24"/>
          <w:szCs w:val="24"/>
          <w:lang w:val="gl-ES"/>
        </w:rPr>
        <w:t>primeiro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 w:rsidRPr="00732F3D">
        <w:rPr>
          <w:rFonts w:ascii="Arial" w:hAnsi="Arial" w:cs="Arial"/>
          <w:sz w:val="24"/>
          <w:szCs w:val="24"/>
          <w:lang w:val="gl-ES"/>
        </w:rPr>
        <w:t>momento</w:t>
      </w:r>
      <w:r>
        <w:rPr>
          <w:rFonts w:ascii="Arial" w:hAnsi="Arial" w:cs="Arial"/>
          <w:sz w:val="24"/>
          <w:szCs w:val="24"/>
          <w:lang w:val="gl-ES"/>
        </w:rPr>
        <w:t xml:space="preserve"> da crise, destrúese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>
        <w:rPr>
          <w:rFonts w:ascii="Arial" w:hAnsi="Arial" w:cs="Arial"/>
          <w:sz w:val="24"/>
          <w:szCs w:val="24"/>
          <w:lang w:val="gl-ES"/>
        </w:rPr>
        <w:t>principalmente emprego masculino</w:t>
      </w:r>
      <w:r w:rsidR="00B533CD">
        <w:rPr>
          <w:rFonts w:ascii="Arial" w:hAnsi="Arial" w:cs="Arial"/>
          <w:sz w:val="24"/>
          <w:szCs w:val="24"/>
          <w:lang w:val="gl-ES"/>
        </w:rPr>
        <w:t>. Tratába</w:t>
      </w:r>
      <w:r>
        <w:rPr>
          <w:rFonts w:ascii="Arial" w:hAnsi="Arial" w:cs="Arial"/>
          <w:sz w:val="24"/>
          <w:szCs w:val="24"/>
          <w:lang w:val="gl-ES"/>
        </w:rPr>
        <w:t>se de postos de traballo da construción e da industria cunha remuneración acept</w:t>
      </w:r>
      <w:r w:rsidR="00B533CD">
        <w:rPr>
          <w:rFonts w:ascii="Arial" w:hAnsi="Arial" w:cs="Arial"/>
          <w:sz w:val="24"/>
          <w:szCs w:val="24"/>
          <w:lang w:val="gl-ES"/>
        </w:rPr>
        <w:t>ábel</w:t>
      </w:r>
      <w:r>
        <w:rPr>
          <w:rFonts w:ascii="Arial" w:hAnsi="Arial" w:cs="Arial"/>
          <w:sz w:val="24"/>
          <w:szCs w:val="24"/>
          <w:lang w:val="gl-ES"/>
        </w:rPr>
        <w:t>, co cal</w:t>
      </w:r>
      <w:r w:rsidR="00DD67F5">
        <w:rPr>
          <w:rFonts w:ascii="Arial" w:hAnsi="Arial" w:cs="Arial"/>
          <w:sz w:val="24"/>
          <w:szCs w:val="24"/>
          <w:lang w:val="gl-ES"/>
        </w:rPr>
        <w:t xml:space="preserve">, na medida en que estes se ían reducindo, diminuía </w:t>
      </w:r>
      <w:r>
        <w:rPr>
          <w:rFonts w:ascii="Arial" w:hAnsi="Arial" w:cs="Arial"/>
          <w:sz w:val="24"/>
          <w:szCs w:val="24"/>
          <w:lang w:val="gl-ES"/>
        </w:rPr>
        <w:t xml:space="preserve">a </w:t>
      </w:r>
      <w:r w:rsidR="00B533CD">
        <w:rPr>
          <w:rFonts w:ascii="Arial" w:hAnsi="Arial" w:cs="Arial"/>
          <w:sz w:val="24"/>
          <w:szCs w:val="24"/>
          <w:lang w:val="gl-ES"/>
        </w:rPr>
        <w:t xml:space="preserve">fenda </w:t>
      </w:r>
      <w:r w:rsidR="00BA432E">
        <w:rPr>
          <w:rFonts w:ascii="Arial" w:hAnsi="Arial" w:cs="Arial"/>
          <w:sz w:val="24"/>
          <w:szCs w:val="24"/>
          <w:lang w:val="gl-ES"/>
        </w:rPr>
        <w:t>salarial</w:t>
      </w:r>
      <w:r w:rsidR="00B533CD">
        <w:rPr>
          <w:rFonts w:ascii="Arial" w:hAnsi="Arial" w:cs="Arial"/>
          <w:sz w:val="24"/>
          <w:szCs w:val="24"/>
          <w:lang w:val="gl-ES"/>
        </w:rPr>
        <w:t>. D</w:t>
      </w:r>
      <w:r w:rsidR="00DD67F5">
        <w:rPr>
          <w:rFonts w:ascii="Arial" w:hAnsi="Arial" w:cs="Arial"/>
          <w:sz w:val="24"/>
          <w:szCs w:val="24"/>
          <w:lang w:val="gl-ES"/>
        </w:rPr>
        <w:t>e feito</w:t>
      </w:r>
      <w:r w:rsidR="00B533CD">
        <w:rPr>
          <w:rFonts w:ascii="Arial" w:hAnsi="Arial" w:cs="Arial"/>
          <w:sz w:val="24"/>
          <w:szCs w:val="24"/>
          <w:lang w:val="gl-ES"/>
        </w:rPr>
        <w:t>,</w:t>
      </w:r>
      <w:r w:rsidR="00DD67F5">
        <w:rPr>
          <w:rFonts w:ascii="Arial" w:hAnsi="Arial" w:cs="Arial"/>
          <w:sz w:val="24"/>
          <w:szCs w:val="24"/>
          <w:lang w:val="gl-ES"/>
        </w:rPr>
        <w:t xml:space="preserve"> reduciuse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>
        <w:rPr>
          <w:rFonts w:ascii="Arial" w:hAnsi="Arial" w:cs="Arial"/>
          <w:sz w:val="24"/>
          <w:szCs w:val="24"/>
          <w:lang w:val="gl-ES"/>
        </w:rPr>
        <w:t xml:space="preserve">en máis de 3 puntos en </w:t>
      </w:r>
      <w:r w:rsidR="00B533CD">
        <w:rPr>
          <w:rFonts w:ascii="Arial" w:hAnsi="Arial" w:cs="Arial"/>
          <w:sz w:val="24"/>
          <w:szCs w:val="24"/>
          <w:lang w:val="gl-ES"/>
        </w:rPr>
        <w:t xml:space="preserve">apenas </w:t>
      </w:r>
      <w:r>
        <w:rPr>
          <w:rFonts w:ascii="Arial" w:hAnsi="Arial" w:cs="Arial"/>
          <w:sz w:val="24"/>
          <w:szCs w:val="24"/>
          <w:lang w:val="gl-ES"/>
        </w:rPr>
        <w:t>un ano</w:t>
      </w:r>
      <w:r w:rsidR="00DD67F5">
        <w:rPr>
          <w:rFonts w:ascii="Arial" w:hAnsi="Arial" w:cs="Arial"/>
          <w:sz w:val="24"/>
          <w:szCs w:val="24"/>
          <w:lang w:val="gl-ES"/>
        </w:rPr>
        <w:t>.</w:t>
      </w:r>
    </w:p>
    <w:p w:rsidR="00B647E2" w:rsidRDefault="00DD67F5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En menor medida, foise reducindo ano tras ano</w:t>
      </w:r>
      <w:r w:rsidR="00EE51F7">
        <w:rPr>
          <w:rFonts w:ascii="Arial" w:hAnsi="Arial" w:cs="Arial"/>
          <w:sz w:val="24"/>
          <w:szCs w:val="24"/>
          <w:lang w:val="gl-ES"/>
        </w:rPr>
        <w:t xml:space="preserve"> ata </w:t>
      </w:r>
      <w:r>
        <w:rPr>
          <w:rFonts w:ascii="Arial" w:hAnsi="Arial" w:cs="Arial"/>
          <w:sz w:val="24"/>
          <w:szCs w:val="24"/>
          <w:lang w:val="gl-ES"/>
        </w:rPr>
        <w:t>o 2014</w:t>
      </w:r>
      <w:r w:rsidR="008F1AEA">
        <w:rPr>
          <w:rFonts w:ascii="Arial" w:hAnsi="Arial" w:cs="Arial"/>
          <w:sz w:val="24"/>
          <w:szCs w:val="24"/>
          <w:lang w:val="gl-ES"/>
        </w:rPr>
        <w:t>. No</w:t>
      </w:r>
      <w:r w:rsidR="007922BA">
        <w:rPr>
          <w:rFonts w:ascii="Arial" w:hAnsi="Arial" w:cs="Arial"/>
          <w:sz w:val="24"/>
          <w:szCs w:val="24"/>
          <w:lang w:val="gl-ES"/>
        </w:rPr>
        <w:t xml:space="preserve"> ano 2015</w:t>
      </w:r>
      <w:r w:rsidR="008F1AEA">
        <w:rPr>
          <w:rFonts w:ascii="Arial" w:hAnsi="Arial" w:cs="Arial"/>
          <w:sz w:val="24"/>
          <w:szCs w:val="24"/>
          <w:lang w:val="gl-ES"/>
        </w:rPr>
        <w:t>,</w:t>
      </w:r>
      <w:r w:rsidR="007922BA">
        <w:rPr>
          <w:rFonts w:ascii="Arial" w:hAnsi="Arial" w:cs="Arial"/>
          <w:sz w:val="24"/>
          <w:szCs w:val="24"/>
          <w:lang w:val="gl-ES"/>
        </w:rPr>
        <w:t xml:space="preserve"> cando comeza a creación neta de emprego, volve incrementarse a </w:t>
      </w:r>
      <w:r w:rsidR="00B533CD">
        <w:rPr>
          <w:rFonts w:ascii="Arial" w:hAnsi="Arial" w:cs="Arial"/>
          <w:sz w:val="24"/>
          <w:szCs w:val="24"/>
          <w:lang w:val="gl-ES"/>
        </w:rPr>
        <w:t>fenda</w:t>
      </w:r>
      <w:r w:rsidR="007922BA">
        <w:rPr>
          <w:rFonts w:ascii="Arial" w:hAnsi="Arial" w:cs="Arial"/>
          <w:sz w:val="24"/>
          <w:szCs w:val="24"/>
          <w:lang w:val="gl-ES"/>
        </w:rPr>
        <w:t xml:space="preserve"> salarial; e xa leva 3 anos medrando, 2 décimas neste último ano como dixemos anteriormente.</w:t>
      </w:r>
      <w:r w:rsidR="00C34359">
        <w:rPr>
          <w:rFonts w:ascii="Arial" w:hAnsi="Arial" w:cs="Arial"/>
          <w:sz w:val="24"/>
          <w:szCs w:val="24"/>
          <w:lang w:val="gl-ES"/>
        </w:rPr>
        <w:t xml:space="preserve"> Tras varios anos nos que se recortaran as distancias, a recuperación económica d</w:t>
      </w:r>
      <w:r w:rsidR="008F1AEA">
        <w:rPr>
          <w:rFonts w:ascii="Arial" w:hAnsi="Arial" w:cs="Arial"/>
          <w:sz w:val="24"/>
          <w:szCs w:val="24"/>
          <w:lang w:val="gl-ES"/>
        </w:rPr>
        <w:t>á</w:t>
      </w:r>
      <w:r w:rsidR="00C34359">
        <w:rPr>
          <w:rFonts w:ascii="Arial" w:hAnsi="Arial" w:cs="Arial"/>
          <w:sz w:val="24"/>
          <w:szCs w:val="24"/>
          <w:lang w:val="gl-ES"/>
        </w:rPr>
        <w:t xml:space="preserve"> marcha atrás </w:t>
      </w:r>
      <w:r w:rsidR="008F1AEA">
        <w:rPr>
          <w:rFonts w:ascii="Arial" w:hAnsi="Arial" w:cs="Arial"/>
          <w:sz w:val="24"/>
          <w:szCs w:val="24"/>
          <w:lang w:val="gl-ES"/>
        </w:rPr>
        <w:t>ao</w:t>
      </w:r>
      <w:r w:rsidR="00C34359">
        <w:rPr>
          <w:rFonts w:ascii="Arial" w:hAnsi="Arial" w:cs="Arial"/>
          <w:sz w:val="24"/>
          <w:szCs w:val="24"/>
          <w:lang w:val="gl-ES"/>
        </w:rPr>
        <w:t xml:space="preserve"> obxectivo de acadar esta igualdade.</w:t>
      </w:r>
    </w:p>
    <w:p w:rsidR="007922BA" w:rsidRDefault="00C34359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Son moitos os factores que fan que a final de ano cobren máis os homes que as mulleres</w:t>
      </w:r>
      <w:r w:rsidR="008F1AEA">
        <w:rPr>
          <w:rFonts w:ascii="Arial" w:hAnsi="Arial" w:cs="Arial"/>
          <w:sz w:val="24"/>
          <w:szCs w:val="24"/>
          <w:lang w:val="gl-ES"/>
        </w:rPr>
        <w:t>. A</w:t>
      </w:r>
      <w:r>
        <w:rPr>
          <w:rFonts w:ascii="Arial" w:hAnsi="Arial" w:cs="Arial"/>
          <w:sz w:val="24"/>
          <w:szCs w:val="24"/>
          <w:lang w:val="gl-ES"/>
        </w:rPr>
        <w:t xml:space="preserve"> discriminaci</w:t>
      </w:r>
      <w:r w:rsidR="008F1AEA">
        <w:rPr>
          <w:rFonts w:ascii="Arial" w:hAnsi="Arial" w:cs="Arial"/>
          <w:sz w:val="24"/>
          <w:szCs w:val="24"/>
          <w:lang w:val="gl-ES"/>
        </w:rPr>
        <w:t>ón directa é perseguida e máis doada</w:t>
      </w:r>
      <w:r>
        <w:rPr>
          <w:rFonts w:ascii="Arial" w:hAnsi="Arial" w:cs="Arial"/>
          <w:sz w:val="24"/>
          <w:szCs w:val="24"/>
          <w:lang w:val="gl-ES"/>
        </w:rPr>
        <w:t>mente recoñec</w:t>
      </w:r>
      <w:r w:rsidR="008F1AEA">
        <w:rPr>
          <w:rFonts w:ascii="Arial" w:hAnsi="Arial" w:cs="Arial"/>
          <w:sz w:val="24"/>
          <w:szCs w:val="24"/>
          <w:lang w:val="gl-ES"/>
        </w:rPr>
        <w:t>íbel</w:t>
      </w:r>
      <w:r>
        <w:rPr>
          <w:rFonts w:ascii="Arial" w:hAnsi="Arial" w:cs="Arial"/>
          <w:sz w:val="24"/>
          <w:szCs w:val="24"/>
          <w:lang w:val="gl-ES"/>
        </w:rPr>
        <w:t xml:space="preserve">, pero hai outras indirectas que fan que esta situación se manteña e incluso se incremente: aínda que un homes e unha muller teñen o mesmo salario base, os </w:t>
      </w:r>
      <w:r>
        <w:rPr>
          <w:rFonts w:ascii="Arial" w:hAnsi="Arial" w:cs="Arial"/>
          <w:sz w:val="24"/>
          <w:szCs w:val="24"/>
          <w:lang w:val="gl-ES"/>
        </w:rPr>
        <w:lastRenderedPageBreak/>
        <w:t xml:space="preserve">complementos a ese soldo moitas veces son discriminatorios; </w:t>
      </w:r>
      <w:r w:rsidR="00695DF2">
        <w:rPr>
          <w:rFonts w:ascii="Arial" w:hAnsi="Arial" w:cs="Arial"/>
          <w:sz w:val="24"/>
          <w:szCs w:val="24"/>
          <w:lang w:val="gl-ES"/>
        </w:rPr>
        <w:t>m</w:t>
      </w:r>
      <w:r w:rsidR="008F1AEA">
        <w:rPr>
          <w:rFonts w:ascii="Arial" w:hAnsi="Arial" w:cs="Arial"/>
          <w:sz w:val="24"/>
          <w:szCs w:val="24"/>
          <w:lang w:val="gl-ES"/>
        </w:rPr>
        <w:t>á</w:t>
      </w:r>
      <w:r w:rsidR="00695DF2">
        <w:rPr>
          <w:rFonts w:ascii="Arial" w:hAnsi="Arial" w:cs="Arial"/>
          <w:sz w:val="24"/>
          <w:szCs w:val="24"/>
          <w:lang w:val="gl-ES"/>
        </w:rPr>
        <w:t>is presenza de mulleres en ocupacións a xornada parcial, onde na maioría dos casos inflúen factores asociados á maternidade, conciliación da vida persoal e familiar; existen empregos feminizados e polo tanto peor pagos</w:t>
      </w:r>
      <w:r w:rsidR="008F1AEA">
        <w:rPr>
          <w:rFonts w:ascii="Arial" w:hAnsi="Arial" w:cs="Arial"/>
          <w:sz w:val="24"/>
          <w:szCs w:val="24"/>
          <w:lang w:val="gl-ES"/>
        </w:rPr>
        <w:t xml:space="preserve"> (</w:t>
      </w:r>
      <w:r w:rsidR="00695DF2">
        <w:rPr>
          <w:rFonts w:ascii="Arial" w:hAnsi="Arial" w:cs="Arial"/>
          <w:sz w:val="24"/>
          <w:szCs w:val="24"/>
          <w:lang w:val="gl-ES"/>
        </w:rPr>
        <w:t>o exemplo máis usado é entre camareiras de piso (feminizado e peor pago) e camareiros de sala</w:t>
      </w:r>
      <w:r w:rsidR="008F1AEA">
        <w:rPr>
          <w:rFonts w:ascii="Arial" w:hAnsi="Arial" w:cs="Arial"/>
          <w:sz w:val="24"/>
          <w:szCs w:val="24"/>
          <w:lang w:val="gl-ES"/>
        </w:rPr>
        <w:t>)</w:t>
      </w:r>
      <w:r w:rsidR="00695DF2">
        <w:rPr>
          <w:rFonts w:ascii="Arial" w:hAnsi="Arial" w:cs="Arial"/>
          <w:sz w:val="24"/>
          <w:szCs w:val="24"/>
          <w:lang w:val="gl-ES"/>
        </w:rPr>
        <w:t>; ramas de actividade feminizadas e polo tanto moito peor pagas</w:t>
      </w:r>
      <w:r w:rsidR="008F1AEA">
        <w:rPr>
          <w:rFonts w:ascii="Arial" w:hAnsi="Arial" w:cs="Arial"/>
          <w:sz w:val="24"/>
          <w:szCs w:val="24"/>
          <w:lang w:val="gl-ES"/>
        </w:rPr>
        <w:t>, etc.</w:t>
      </w:r>
    </w:p>
    <w:p w:rsidR="00695DF2" w:rsidRDefault="00695DF2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Este último factor</w:t>
      </w:r>
      <w:r w:rsidR="008F1AEA">
        <w:rPr>
          <w:rFonts w:ascii="Arial" w:hAnsi="Arial" w:cs="Arial"/>
          <w:sz w:val="24"/>
          <w:szCs w:val="24"/>
          <w:lang w:val="gl-ES"/>
        </w:rPr>
        <w:t>, ramas de actividade feminizadas,</w:t>
      </w:r>
      <w:r>
        <w:rPr>
          <w:rFonts w:ascii="Arial" w:hAnsi="Arial" w:cs="Arial"/>
          <w:sz w:val="24"/>
          <w:szCs w:val="24"/>
          <w:lang w:val="gl-ES"/>
        </w:rPr>
        <w:t xml:space="preserve"> podémolo ilustrar con datos.</w:t>
      </w:r>
    </w:p>
    <w:p w:rsidR="00CE2B9E" w:rsidRDefault="00CE2B9E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Asalariadas e asalariados, Salario Medio Anual (SMA) segundo sexo. Ano 2016. </w:t>
      </w:r>
    </w:p>
    <w:tbl>
      <w:tblPr>
        <w:tblStyle w:val="Sombreadoclaro-nfasis4"/>
        <w:tblW w:w="0" w:type="auto"/>
        <w:tblLook w:val="04A0"/>
      </w:tblPr>
      <w:tblGrid>
        <w:gridCol w:w="2594"/>
        <w:gridCol w:w="1274"/>
        <w:gridCol w:w="830"/>
        <w:gridCol w:w="1264"/>
        <w:gridCol w:w="830"/>
        <w:gridCol w:w="1072"/>
        <w:gridCol w:w="1190"/>
      </w:tblGrid>
      <w:tr w:rsidR="00CE2B9E" w:rsidRPr="00CE2B9E" w:rsidTr="00CE2B9E">
        <w:trPr>
          <w:cnfStyle w:val="100000000000"/>
          <w:trHeight w:val="300"/>
        </w:trPr>
        <w:tc>
          <w:tcPr>
            <w:cnfStyle w:val="001000000000"/>
            <w:tcW w:w="0" w:type="auto"/>
            <w:hideMark/>
          </w:tcPr>
          <w:p w:rsidR="00CE2B9E" w:rsidRPr="00CE2B9E" w:rsidRDefault="00CE2B9E" w:rsidP="00CE2B9E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</w:p>
        </w:tc>
        <w:tc>
          <w:tcPr>
            <w:tcW w:w="0" w:type="auto"/>
            <w:gridSpan w:val="2"/>
            <w:hideMark/>
          </w:tcPr>
          <w:p w:rsidR="00CE2B9E" w:rsidRPr="00CE2B9E" w:rsidRDefault="00CE2B9E" w:rsidP="00CE2B9E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Homes</w:t>
            </w:r>
          </w:p>
        </w:tc>
        <w:tc>
          <w:tcPr>
            <w:tcW w:w="0" w:type="auto"/>
            <w:gridSpan w:val="2"/>
            <w:hideMark/>
          </w:tcPr>
          <w:p w:rsidR="00CE2B9E" w:rsidRPr="00CE2B9E" w:rsidRDefault="00CE2B9E" w:rsidP="00CE2B9E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Mulleres</w:t>
            </w:r>
          </w:p>
        </w:tc>
        <w:tc>
          <w:tcPr>
            <w:tcW w:w="0" w:type="auto"/>
            <w:noWrap/>
            <w:hideMark/>
          </w:tcPr>
          <w:p w:rsidR="00CE2B9E" w:rsidRPr="00CE2B9E" w:rsidRDefault="00CE2B9E" w:rsidP="00CE2B9E">
            <w:pPr>
              <w:cnfStyle w:val="1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</w:p>
        </w:tc>
        <w:tc>
          <w:tcPr>
            <w:tcW w:w="0" w:type="auto"/>
            <w:noWrap/>
            <w:hideMark/>
          </w:tcPr>
          <w:p w:rsidR="00CE2B9E" w:rsidRPr="00CE2B9E" w:rsidRDefault="00CE2B9E" w:rsidP="00CE2B9E">
            <w:pPr>
              <w:cnfStyle w:val="1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</w:p>
        </w:tc>
      </w:tr>
      <w:tr w:rsidR="00CE2B9E" w:rsidRPr="00CE2B9E" w:rsidTr="00CE2B9E">
        <w:trPr>
          <w:cnfStyle w:val="000000100000"/>
          <w:trHeight w:val="600"/>
        </w:trPr>
        <w:tc>
          <w:tcPr>
            <w:cnfStyle w:val="001000000000"/>
            <w:tcW w:w="0" w:type="auto"/>
            <w:hideMark/>
          </w:tcPr>
          <w:p w:rsidR="00CE2B9E" w:rsidRPr="00CE2B9E" w:rsidRDefault="00CE2B9E" w:rsidP="00CE2B9E">
            <w:pPr>
              <w:jc w:val="both"/>
              <w:rPr>
                <w:rFonts w:ascii="Calibri" w:eastAsia="Times New Roman" w:hAnsi="Calibri" w:cs="Times New Roman"/>
                <w:color w:val="000000"/>
                <w:lang w:val="gl-ES"/>
              </w:rPr>
            </w:pP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  <w:t>Asalariados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  <w:t>SMA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  <w:t>Asalariadas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  <w:t>SMA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  <w:t>diferenza</w:t>
            </w:r>
          </w:p>
        </w:tc>
        <w:tc>
          <w:tcPr>
            <w:tcW w:w="0" w:type="auto"/>
            <w:hideMark/>
          </w:tcPr>
          <w:p w:rsidR="00CE2B9E" w:rsidRPr="00CE2B9E" w:rsidRDefault="00B533CD" w:rsidP="00CE2B9E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  <w:t>Fenda</w:t>
            </w:r>
            <w:r w:rsidR="00CE2B9E" w:rsidRPr="00CE2B9E"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  <w:t xml:space="preserve"> salarial</w:t>
            </w:r>
          </w:p>
        </w:tc>
      </w:tr>
      <w:tr w:rsidR="00CE2B9E" w:rsidRPr="00CE2B9E" w:rsidTr="00CE2B9E">
        <w:trPr>
          <w:trHeight w:val="300"/>
        </w:trPr>
        <w:tc>
          <w:tcPr>
            <w:cnfStyle w:val="001000000000"/>
            <w:tcW w:w="0" w:type="auto"/>
            <w:hideMark/>
          </w:tcPr>
          <w:p w:rsidR="00CE2B9E" w:rsidRPr="00CE2B9E" w:rsidRDefault="00CE2B9E" w:rsidP="00CE2B9E">
            <w:pPr>
              <w:jc w:val="both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G</w:t>
            </w:r>
            <w:r w:rsidR="00B533CD">
              <w:rPr>
                <w:rFonts w:ascii="Calibri" w:eastAsia="Times New Roman" w:hAnsi="Calibri" w:cs="Times New Roman"/>
                <w:color w:val="000000"/>
                <w:lang w:val="gl-ES"/>
              </w:rPr>
              <w:t>aliza</w:t>
            </w:r>
          </w:p>
        </w:tc>
        <w:tc>
          <w:tcPr>
            <w:tcW w:w="0" w:type="auto"/>
            <w:noWrap/>
            <w:hideMark/>
          </w:tcPr>
          <w:p w:rsidR="00CE2B9E" w:rsidRPr="00CE2B9E" w:rsidRDefault="00CE2B9E" w:rsidP="00CE2B9E">
            <w:pPr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</w:p>
        </w:tc>
        <w:tc>
          <w:tcPr>
            <w:tcW w:w="0" w:type="auto"/>
            <w:noWrap/>
            <w:hideMark/>
          </w:tcPr>
          <w:p w:rsidR="00CE2B9E" w:rsidRPr="00CE2B9E" w:rsidRDefault="00CE2B9E" w:rsidP="00CE2B9E">
            <w:pPr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</w:p>
        </w:tc>
        <w:tc>
          <w:tcPr>
            <w:tcW w:w="0" w:type="auto"/>
            <w:noWrap/>
            <w:hideMark/>
          </w:tcPr>
          <w:p w:rsidR="00CE2B9E" w:rsidRPr="00CE2B9E" w:rsidRDefault="00CE2B9E" w:rsidP="00CE2B9E">
            <w:pPr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</w:p>
        </w:tc>
        <w:tc>
          <w:tcPr>
            <w:tcW w:w="0" w:type="auto"/>
            <w:noWrap/>
            <w:hideMark/>
          </w:tcPr>
          <w:p w:rsidR="00CE2B9E" w:rsidRPr="00CE2B9E" w:rsidRDefault="00CE2B9E" w:rsidP="00CE2B9E">
            <w:pPr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</w:p>
        </w:tc>
        <w:tc>
          <w:tcPr>
            <w:tcW w:w="0" w:type="auto"/>
            <w:noWrap/>
            <w:hideMark/>
          </w:tcPr>
          <w:p w:rsidR="00CE2B9E" w:rsidRPr="00CE2B9E" w:rsidRDefault="00CE2B9E" w:rsidP="00CE2B9E">
            <w:pPr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</w:p>
        </w:tc>
        <w:tc>
          <w:tcPr>
            <w:tcW w:w="0" w:type="auto"/>
            <w:noWrap/>
            <w:hideMark/>
          </w:tcPr>
          <w:p w:rsidR="00CE2B9E" w:rsidRPr="00CE2B9E" w:rsidRDefault="00CE2B9E" w:rsidP="00CE2B9E">
            <w:pPr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</w:p>
        </w:tc>
      </w:tr>
      <w:tr w:rsidR="00CE2B9E" w:rsidRPr="00CE2B9E" w:rsidTr="00CE2B9E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CE2B9E" w:rsidRPr="00CE2B9E" w:rsidRDefault="00724403" w:rsidP="00CE2B9E">
            <w:pPr>
              <w:jc w:val="both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  </w:t>
            </w:r>
            <w:r w:rsidR="00CE2B9E"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Total sectores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534.563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20.243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477.215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15.730</w:t>
            </w:r>
          </w:p>
        </w:tc>
        <w:tc>
          <w:tcPr>
            <w:tcW w:w="0" w:type="auto"/>
            <w:noWrap/>
            <w:hideMark/>
          </w:tcPr>
          <w:p w:rsidR="00CE2B9E" w:rsidRPr="00CE2B9E" w:rsidRDefault="00CE2B9E" w:rsidP="00CE2B9E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-4.513</w:t>
            </w:r>
          </w:p>
        </w:tc>
        <w:tc>
          <w:tcPr>
            <w:tcW w:w="0" w:type="auto"/>
            <w:noWrap/>
            <w:hideMark/>
          </w:tcPr>
          <w:p w:rsidR="00CE2B9E" w:rsidRPr="00CE2B9E" w:rsidRDefault="00800575" w:rsidP="00CE2B9E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>22,3</w:t>
            </w:r>
            <w:r w:rsidR="0054516C">
              <w:rPr>
                <w:rFonts w:ascii="Calibri" w:eastAsia="Times New Roman" w:hAnsi="Calibri" w:cs="Times New Roman"/>
                <w:color w:val="000000"/>
                <w:lang w:val="gl-ES"/>
              </w:rPr>
              <w:t>%</w:t>
            </w:r>
          </w:p>
        </w:tc>
      </w:tr>
      <w:tr w:rsidR="00CE2B9E" w:rsidRPr="00CE2B9E" w:rsidTr="00CE2B9E">
        <w:trPr>
          <w:trHeight w:val="600"/>
        </w:trPr>
        <w:tc>
          <w:tcPr>
            <w:cnfStyle w:val="001000000000"/>
            <w:tcW w:w="0" w:type="auto"/>
            <w:hideMark/>
          </w:tcPr>
          <w:p w:rsidR="00CE2B9E" w:rsidRPr="00CE2B9E" w:rsidRDefault="00724403" w:rsidP="00CE2B9E">
            <w:pPr>
              <w:jc w:val="both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  </w:t>
            </w:r>
            <w:r w:rsidR="00CE2B9E"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Agricultura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20.958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15.159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4.840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10.560</w:t>
            </w:r>
          </w:p>
        </w:tc>
        <w:tc>
          <w:tcPr>
            <w:tcW w:w="0" w:type="auto"/>
            <w:noWrap/>
            <w:hideMark/>
          </w:tcPr>
          <w:p w:rsidR="00CE2B9E" w:rsidRPr="00CE2B9E" w:rsidRDefault="00CE2B9E" w:rsidP="00CE2B9E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-4.599</w:t>
            </w:r>
          </w:p>
        </w:tc>
        <w:tc>
          <w:tcPr>
            <w:tcW w:w="0" w:type="auto"/>
            <w:noWrap/>
            <w:hideMark/>
          </w:tcPr>
          <w:p w:rsidR="00CE2B9E" w:rsidRPr="00CE2B9E" w:rsidRDefault="00800575" w:rsidP="00CE2B9E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>30,3</w:t>
            </w:r>
            <w:r w:rsidR="0054516C">
              <w:rPr>
                <w:rFonts w:ascii="Calibri" w:eastAsia="Times New Roman" w:hAnsi="Calibri" w:cs="Times New Roman"/>
                <w:color w:val="000000"/>
                <w:lang w:val="gl-ES"/>
              </w:rPr>
              <w:t>%</w:t>
            </w:r>
          </w:p>
        </w:tc>
      </w:tr>
      <w:tr w:rsidR="00CE2B9E" w:rsidRPr="00CE2B9E" w:rsidTr="00CE2B9E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CE2B9E" w:rsidRPr="00CE2B9E" w:rsidRDefault="00724403" w:rsidP="00CE2B9E">
            <w:pPr>
              <w:jc w:val="both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  </w:t>
            </w:r>
            <w:r w:rsidR="00CE2B9E"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Ind extractiva, enerxía e auga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9.488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29.207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2.001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21.560</w:t>
            </w:r>
          </w:p>
        </w:tc>
        <w:tc>
          <w:tcPr>
            <w:tcW w:w="0" w:type="auto"/>
            <w:noWrap/>
            <w:hideMark/>
          </w:tcPr>
          <w:p w:rsidR="00CE2B9E" w:rsidRPr="00CE2B9E" w:rsidRDefault="00CE2B9E" w:rsidP="00CE2B9E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-7.647</w:t>
            </w:r>
          </w:p>
        </w:tc>
        <w:tc>
          <w:tcPr>
            <w:tcW w:w="0" w:type="auto"/>
            <w:noWrap/>
            <w:hideMark/>
          </w:tcPr>
          <w:p w:rsidR="00CE2B9E" w:rsidRPr="00CE2B9E" w:rsidRDefault="00800575" w:rsidP="00CE2B9E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>26,2</w:t>
            </w:r>
            <w:r w:rsidR="0054516C">
              <w:rPr>
                <w:rFonts w:ascii="Calibri" w:eastAsia="Times New Roman" w:hAnsi="Calibri" w:cs="Times New Roman"/>
                <w:color w:val="000000"/>
                <w:lang w:val="gl-ES"/>
              </w:rPr>
              <w:t>%</w:t>
            </w:r>
          </w:p>
        </w:tc>
      </w:tr>
      <w:tr w:rsidR="00CE2B9E" w:rsidRPr="00CE2B9E" w:rsidTr="00CE2B9E">
        <w:trPr>
          <w:trHeight w:val="300"/>
        </w:trPr>
        <w:tc>
          <w:tcPr>
            <w:cnfStyle w:val="001000000000"/>
            <w:tcW w:w="0" w:type="auto"/>
            <w:hideMark/>
          </w:tcPr>
          <w:p w:rsidR="00CE2B9E" w:rsidRPr="00CE2B9E" w:rsidRDefault="00724403" w:rsidP="00CE2B9E">
            <w:pPr>
              <w:jc w:val="both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  </w:t>
            </w:r>
            <w:r w:rsidR="00CE2B9E"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Industria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87.634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22.861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40.427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16.077</w:t>
            </w:r>
          </w:p>
        </w:tc>
        <w:tc>
          <w:tcPr>
            <w:tcW w:w="0" w:type="auto"/>
            <w:noWrap/>
            <w:hideMark/>
          </w:tcPr>
          <w:p w:rsidR="00CE2B9E" w:rsidRPr="00CE2B9E" w:rsidRDefault="00CE2B9E" w:rsidP="00CE2B9E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-6.784</w:t>
            </w:r>
          </w:p>
        </w:tc>
        <w:tc>
          <w:tcPr>
            <w:tcW w:w="0" w:type="auto"/>
            <w:noWrap/>
            <w:hideMark/>
          </w:tcPr>
          <w:p w:rsidR="00CE2B9E" w:rsidRPr="00CE2B9E" w:rsidRDefault="00800575" w:rsidP="00CE2B9E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>29,7</w:t>
            </w:r>
            <w:r w:rsidR="0054516C">
              <w:rPr>
                <w:rFonts w:ascii="Calibri" w:eastAsia="Times New Roman" w:hAnsi="Calibri" w:cs="Times New Roman"/>
                <w:color w:val="000000"/>
                <w:lang w:val="gl-ES"/>
              </w:rPr>
              <w:t>%</w:t>
            </w:r>
          </w:p>
        </w:tc>
      </w:tr>
      <w:tr w:rsidR="00CE2B9E" w:rsidRPr="00CE2B9E" w:rsidTr="00CE2B9E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CE2B9E" w:rsidRPr="00CE2B9E" w:rsidRDefault="00724403" w:rsidP="00CE2B9E">
            <w:pPr>
              <w:jc w:val="both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  </w:t>
            </w:r>
            <w:r w:rsidR="00CE2B9E"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Construción 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64.804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17.180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11.282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15.767</w:t>
            </w:r>
          </w:p>
        </w:tc>
        <w:tc>
          <w:tcPr>
            <w:tcW w:w="0" w:type="auto"/>
            <w:noWrap/>
            <w:hideMark/>
          </w:tcPr>
          <w:p w:rsidR="00CE2B9E" w:rsidRPr="00CE2B9E" w:rsidRDefault="00CE2B9E" w:rsidP="00CE2B9E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-1.413</w:t>
            </w:r>
          </w:p>
        </w:tc>
        <w:tc>
          <w:tcPr>
            <w:tcW w:w="0" w:type="auto"/>
            <w:noWrap/>
            <w:hideMark/>
          </w:tcPr>
          <w:p w:rsidR="00CE2B9E" w:rsidRPr="00CE2B9E" w:rsidRDefault="00800575" w:rsidP="00CE2B9E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>8,2</w:t>
            </w:r>
            <w:r w:rsidR="0054516C">
              <w:rPr>
                <w:rFonts w:ascii="Calibri" w:eastAsia="Times New Roman" w:hAnsi="Calibri" w:cs="Times New Roman"/>
                <w:color w:val="000000"/>
                <w:lang w:val="gl-ES"/>
              </w:rPr>
              <w:t>%</w:t>
            </w:r>
          </w:p>
        </w:tc>
      </w:tr>
      <w:tr w:rsidR="00CE2B9E" w:rsidRPr="00CE2B9E" w:rsidTr="00CE2B9E">
        <w:trPr>
          <w:trHeight w:val="300"/>
        </w:trPr>
        <w:tc>
          <w:tcPr>
            <w:cnfStyle w:val="001000000000"/>
            <w:tcW w:w="0" w:type="auto"/>
            <w:hideMark/>
          </w:tcPr>
          <w:p w:rsidR="00CE2B9E" w:rsidRPr="00CE2B9E" w:rsidRDefault="00724403" w:rsidP="00CE2B9E">
            <w:pPr>
              <w:jc w:val="both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  </w:t>
            </w:r>
            <w:r w:rsidR="00CE2B9E"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Comercio e transporte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124.170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19.494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98.640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13.985</w:t>
            </w:r>
          </w:p>
        </w:tc>
        <w:tc>
          <w:tcPr>
            <w:tcW w:w="0" w:type="auto"/>
            <w:noWrap/>
            <w:hideMark/>
          </w:tcPr>
          <w:p w:rsidR="00CE2B9E" w:rsidRPr="00CE2B9E" w:rsidRDefault="00CE2B9E" w:rsidP="00CE2B9E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-5.509</w:t>
            </w:r>
          </w:p>
        </w:tc>
        <w:tc>
          <w:tcPr>
            <w:tcW w:w="0" w:type="auto"/>
            <w:noWrap/>
            <w:hideMark/>
          </w:tcPr>
          <w:p w:rsidR="00CE2B9E" w:rsidRPr="00CE2B9E" w:rsidRDefault="00800575" w:rsidP="00CE2B9E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>28,3</w:t>
            </w:r>
            <w:r w:rsidR="0054516C">
              <w:rPr>
                <w:rFonts w:ascii="Calibri" w:eastAsia="Times New Roman" w:hAnsi="Calibri" w:cs="Times New Roman"/>
                <w:color w:val="000000"/>
                <w:lang w:val="gl-ES"/>
              </w:rPr>
              <w:t>%</w:t>
            </w:r>
          </w:p>
        </w:tc>
      </w:tr>
      <w:tr w:rsidR="00CE2B9E" w:rsidRPr="00CE2B9E" w:rsidTr="00CE2B9E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CE2B9E" w:rsidRPr="00CE2B9E" w:rsidRDefault="00724403" w:rsidP="00CE2B9E">
            <w:pPr>
              <w:jc w:val="both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  </w:t>
            </w:r>
            <w:r w:rsidR="00CE2B9E"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Información e comunicacións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12.116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25.316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7.262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19.056</w:t>
            </w:r>
          </w:p>
        </w:tc>
        <w:tc>
          <w:tcPr>
            <w:tcW w:w="0" w:type="auto"/>
            <w:noWrap/>
            <w:hideMark/>
          </w:tcPr>
          <w:p w:rsidR="00CE2B9E" w:rsidRPr="00CE2B9E" w:rsidRDefault="00CE2B9E" w:rsidP="00CE2B9E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-6.260</w:t>
            </w:r>
          </w:p>
        </w:tc>
        <w:tc>
          <w:tcPr>
            <w:tcW w:w="0" w:type="auto"/>
            <w:noWrap/>
            <w:hideMark/>
          </w:tcPr>
          <w:p w:rsidR="00CE2B9E" w:rsidRPr="00CE2B9E" w:rsidRDefault="00800575" w:rsidP="00CE2B9E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>24,7</w:t>
            </w:r>
            <w:r w:rsidR="0054516C">
              <w:rPr>
                <w:rFonts w:ascii="Calibri" w:eastAsia="Times New Roman" w:hAnsi="Calibri" w:cs="Times New Roman"/>
                <w:color w:val="000000"/>
                <w:lang w:val="gl-ES"/>
              </w:rPr>
              <w:t>%</w:t>
            </w:r>
          </w:p>
        </w:tc>
      </w:tr>
      <w:tr w:rsidR="00CE2B9E" w:rsidRPr="00CE2B9E" w:rsidTr="00CE2B9E">
        <w:trPr>
          <w:trHeight w:val="300"/>
        </w:trPr>
        <w:tc>
          <w:tcPr>
            <w:cnfStyle w:val="001000000000"/>
            <w:tcW w:w="0" w:type="auto"/>
            <w:hideMark/>
          </w:tcPr>
          <w:p w:rsidR="00CE2B9E" w:rsidRPr="00CE2B9E" w:rsidRDefault="00724403" w:rsidP="00CE2B9E">
            <w:pPr>
              <w:jc w:val="both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  </w:t>
            </w:r>
            <w:r w:rsidR="00CE2B9E"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Ent financeiras e aseguradoras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11.268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37.484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11.036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26.451</w:t>
            </w:r>
          </w:p>
        </w:tc>
        <w:tc>
          <w:tcPr>
            <w:tcW w:w="0" w:type="auto"/>
            <w:noWrap/>
            <w:hideMark/>
          </w:tcPr>
          <w:p w:rsidR="00CE2B9E" w:rsidRPr="00CE2B9E" w:rsidRDefault="00CE2B9E" w:rsidP="00CE2B9E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-11.033</w:t>
            </w:r>
          </w:p>
        </w:tc>
        <w:tc>
          <w:tcPr>
            <w:tcW w:w="0" w:type="auto"/>
            <w:noWrap/>
            <w:hideMark/>
          </w:tcPr>
          <w:p w:rsidR="00CE2B9E" w:rsidRPr="00CE2B9E" w:rsidRDefault="00800575" w:rsidP="00CE2B9E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>29,4</w:t>
            </w:r>
            <w:r w:rsidR="0054516C">
              <w:rPr>
                <w:rFonts w:ascii="Calibri" w:eastAsia="Times New Roman" w:hAnsi="Calibri" w:cs="Times New Roman"/>
                <w:color w:val="000000"/>
                <w:lang w:val="gl-ES"/>
              </w:rPr>
              <w:t>%</w:t>
            </w:r>
          </w:p>
        </w:tc>
      </w:tr>
      <w:tr w:rsidR="00CE2B9E" w:rsidRPr="00CE2B9E" w:rsidTr="00CE2B9E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CE2B9E" w:rsidRPr="00CE2B9E" w:rsidRDefault="00724403" w:rsidP="00CE2B9E">
            <w:pPr>
              <w:jc w:val="both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  </w:t>
            </w:r>
            <w:r w:rsidR="00CE2B9E"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Servizos ás empresas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57.356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16.726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69.423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11.850</w:t>
            </w:r>
          </w:p>
        </w:tc>
        <w:tc>
          <w:tcPr>
            <w:tcW w:w="0" w:type="auto"/>
            <w:noWrap/>
            <w:hideMark/>
          </w:tcPr>
          <w:p w:rsidR="00CE2B9E" w:rsidRPr="00CE2B9E" w:rsidRDefault="00CE2B9E" w:rsidP="00CE2B9E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-4.876</w:t>
            </w:r>
          </w:p>
        </w:tc>
        <w:tc>
          <w:tcPr>
            <w:tcW w:w="0" w:type="auto"/>
            <w:noWrap/>
            <w:hideMark/>
          </w:tcPr>
          <w:p w:rsidR="00CE2B9E" w:rsidRPr="00CE2B9E" w:rsidRDefault="00800575" w:rsidP="00CE2B9E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>29,2</w:t>
            </w:r>
            <w:r w:rsidR="0054516C">
              <w:rPr>
                <w:rFonts w:ascii="Calibri" w:eastAsia="Times New Roman" w:hAnsi="Calibri" w:cs="Times New Roman"/>
                <w:color w:val="000000"/>
                <w:lang w:val="gl-ES"/>
              </w:rPr>
              <w:t>%</w:t>
            </w:r>
          </w:p>
        </w:tc>
      </w:tr>
      <w:tr w:rsidR="00CE2B9E" w:rsidRPr="00CE2B9E" w:rsidTr="00CE2B9E">
        <w:trPr>
          <w:trHeight w:val="300"/>
        </w:trPr>
        <w:tc>
          <w:tcPr>
            <w:cnfStyle w:val="001000000000"/>
            <w:tcW w:w="0" w:type="auto"/>
            <w:hideMark/>
          </w:tcPr>
          <w:p w:rsidR="00CE2B9E" w:rsidRPr="00CE2B9E" w:rsidRDefault="00724403" w:rsidP="00CE2B9E">
            <w:pPr>
              <w:jc w:val="both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  </w:t>
            </w:r>
            <w:r w:rsidR="00CE2B9E"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Servizos sociais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97.883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25.406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160.683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21.208</w:t>
            </w:r>
          </w:p>
        </w:tc>
        <w:tc>
          <w:tcPr>
            <w:tcW w:w="0" w:type="auto"/>
            <w:noWrap/>
            <w:hideMark/>
          </w:tcPr>
          <w:p w:rsidR="00CE2B9E" w:rsidRPr="00CE2B9E" w:rsidRDefault="00CE2B9E" w:rsidP="00CE2B9E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-4.198</w:t>
            </w:r>
          </w:p>
        </w:tc>
        <w:tc>
          <w:tcPr>
            <w:tcW w:w="0" w:type="auto"/>
            <w:noWrap/>
            <w:hideMark/>
          </w:tcPr>
          <w:p w:rsidR="00CE2B9E" w:rsidRPr="00CE2B9E" w:rsidRDefault="00800575" w:rsidP="00CE2B9E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>16,5</w:t>
            </w:r>
            <w:r w:rsidR="0054516C">
              <w:rPr>
                <w:rFonts w:ascii="Calibri" w:eastAsia="Times New Roman" w:hAnsi="Calibri" w:cs="Times New Roman"/>
                <w:color w:val="000000"/>
                <w:lang w:val="gl-ES"/>
              </w:rPr>
              <w:t>%</w:t>
            </w:r>
          </w:p>
        </w:tc>
      </w:tr>
      <w:tr w:rsidR="00CE2B9E" w:rsidRPr="00CE2B9E" w:rsidTr="00CE2B9E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CE2B9E" w:rsidRPr="00CE2B9E" w:rsidRDefault="00724403" w:rsidP="00CE2B9E">
            <w:pPr>
              <w:jc w:val="both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  </w:t>
            </w:r>
            <w:r w:rsidR="00CE2B9E"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Outros servizos persoais e de</w:t>
            </w:r>
            <w:r w:rsidR="008F1AEA"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lecer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48.885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10.512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71.621</w:t>
            </w:r>
          </w:p>
        </w:tc>
        <w:tc>
          <w:tcPr>
            <w:tcW w:w="0" w:type="auto"/>
            <w:hideMark/>
          </w:tcPr>
          <w:p w:rsidR="00CE2B9E" w:rsidRPr="00CE2B9E" w:rsidRDefault="00CE2B9E" w:rsidP="00CE2B9E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7.600</w:t>
            </w:r>
          </w:p>
        </w:tc>
        <w:tc>
          <w:tcPr>
            <w:tcW w:w="0" w:type="auto"/>
            <w:noWrap/>
            <w:hideMark/>
          </w:tcPr>
          <w:p w:rsidR="00CE2B9E" w:rsidRPr="00CE2B9E" w:rsidRDefault="00CE2B9E" w:rsidP="00CE2B9E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CE2B9E">
              <w:rPr>
                <w:rFonts w:ascii="Calibri" w:eastAsia="Times New Roman" w:hAnsi="Calibri" w:cs="Times New Roman"/>
                <w:color w:val="000000"/>
                <w:lang w:val="gl-ES"/>
              </w:rPr>
              <w:t>-2.912</w:t>
            </w:r>
          </w:p>
        </w:tc>
        <w:tc>
          <w:tcPr>
            <w:tcW w:w="0" w:type="auto"/>
            <w:noWrap/>
            <w:hideMark/>
          </w:tcPr>
          <w:p w:rsidR="00CE2B9E" w:rsidRPr="00CE2B9E" w:rsidRDefault="00800575" w:rsidP="00CE2B9E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>27,7</w:t>
            </w:r>
            <w:r w:rsidR="0054516C">
              <w:rPr>
                <w:rFonts w:ascii="Calibri" w:eastAsia="Times New Roman" w:hAnsi="Calibri" w:cs="Times New Roman"/>
                <w:color w:val="000000"/>
                <w:lang w:val="gl-ES"/>
              </w:rPr>
              <w:t>%</w:t>
            </w:r>
          </w:p>
        </w:tc>
      </w:tr>
    </w:tbl>
    <w:p w:rsidR="00CE2B9E" w:rsidRPr="008F1AEA" w:rsidRDefault="00CE2B9E" w:rsidP="00CE2B9E">
      <w:pPr>
        <w:jc w:val="both"/>
        <w:rPr>
          <w:rFonts w:ascii="Arial" w:hAnsi="Arial" w:cs="Arial"/>
          <w:i/>
          <w:sz w:val="24"/>
          <w:szCs w:val="24"/>
          <w:lang w:val="gl-ES"/>
        </w:rPr>
      </w:pPr>
      <w:r w:rsidRPr="008F1AEA">
        <w:rPr>
          <w:rFonts w:ascii="Arial" w:hAnsi="Arial" w:cs="Arial"/>
          <w:i/>
          <w:sz w:val="24"/>
          <w:szCs w:val="24"/>
          <w:lang w:val="gl-ES"/>
        </w:rPr>
        <w:t>Fonte: Elaboración propia</w:t>
      </w:r>
      <w:r w:rsidR="00724403" w:rsidRPr="008F1AEA">
        <w:rPr>
          <w:rFonts w:ascii="Arial" w:hAnsi="Arial" w:cs="Arial"/>
          <w:i/>
          <w:sz w:val="24"/>
          <w:szCs w:val="24"/>
          <w:lang w:val="gl-ES"/>
        </w:rPr>
        <w:t xml:space="preserve"> </w:t>
      </w:r>
      <w:r w:rsidRPr="008F1AEA">
        <w:rPr>
          <w:rFonts w:ascii="Arial" w:hAnsi="Arial" w:cs="Arial"/>
          <w:i/>
          <w:sz w:val="24"/>
          <w:szCs w:val="24"/>
          <w:lang w:val="gl-ES"/>
        </w:rPr>
        <w:t xml:space="preserve">a partir dos datos da Axencia </w:t>
      </w:r>
      <w:r w:rsidR="008F1AEA">
        <w:rPr>
          <w:rFonts w:ascii="Arial" w:hAnsi="Arial" w:cs="Arial"/>
          <w:i/>
          <w:sz w:val="24"/>
          <w:szCs w:val="24"/>
          <w:lang w:val="gl-ES"/>
        </w:rPr>
        <w:t>T</w:t>
      </w:r>
      <w:r w:rsidRPr="008F1AEA">
        <w:rPr>
          <w:rFonts w:ascii="Arial" w:hAnsi="Arial" w:cs="Arial"/>
          <w:i/>
          <w:sz w:val="24"/>
          <w:szCs w:val="24"/>
          <w:lang w:val="gl-ES"/>
        </w:rPr>
        <w:t>ributaria.</w:t>
      </w:r>
    </w:p>
    <w:p w:rsidR="00CE2B9E" w:rsidRDefault="00CE2B9E" w:rsidP="00A81E1A">
      <w:pPr>
        <w:jc w:val="both"/>
        <w:rPr>
          <w:rFonts w:ascii="Arial" w:hAnsi="Arial" w:cs="Arial"/>
          <w:sz w:val="24"/>
          <w:szCs w:val="24"/>
          <w:lang w:val="gl-ES"/>
        </w:rPr>
      </w:pPr>
    </w:p>
    <w:p w:rsidR="00695DF2" w:rsidRDefault="006B039E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 w:rsidRPr="006B039E">
        <w:rPr>
          <w:rFonts w:ascii="Arial" w:hAnsi="Arial" w:cs="Arial"/>
          <w:noProof/>
          <w:sz w:val="24"/>
          <w:szCs w:val="24"/>
          <w:lang w:val="es-ES" w:eastAsia="es-ES"/>
        </w:rPr>
        <w:lastRenderedPageBreak/>
        <w:drawing>
          <wp:inline distT="0" distB="0" distL="0" distR="0">
            <wp:extent cx="4572000" cy="2743200"/>
            <wp:effectExtent l="19050" t="0" r="19050" b="0"/>
            <wp:docPr id="5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21FA6" w:rsidRDefault="00121FA6" w:rsidP="00B56C2B">
      <w:pPr>
        <w:jc w:val="both"/>
        <w:rPr>
          <w:rFonts w:ascii="Arial" w:hAnsi="Arial" w:cs="Arial"/>
          <w:sz w:val="24"/>
          <w:szCs w:val="24"/>
          <w:lang w:val="gl-ES"/>
        </w:rPr>
      </w:pPr>
    </w:p>
    <w:p w:rsidR="003758C2" w:rsidRDefault="00121FA6" w:rsidP="00B56C2B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A discriminación salarial é xeneralizada </w:t>
      </w:r>
      <w:r w:rsidR="003758C2">
        <w:rPr>
          <w:rFonts w:ascii="Arial" w:hAnsi="Arial" w:cs="Arial"/>
          <w:sz w:val="24"/>
          <w:szCs w:val="24"/>
          <w:lang w:val="gl-ES"/>
        </w:rPr>
        <w:t>en t</w:t>
      </w:r>
      <w:r w:rsidR="00724403">
        <w:rPr>
          <w:rFonts w:ascii="Arial" w:hAnsi="Arial" w:cs="Arial"/>
          <w:sz w:val="24"/>
          <w:szCs w:val="24"/>
          <w:lang w:val="gl-ES"/>
        </w:rPr>
        <w:t>odas as</w:t>
      </w:r>
      <w:r w:rsidR="003758C2">
        <w:rPr>
          <w:rFonts w:ascii="Arial" w:hAnsi="Arial" w:cs="Arial"/>
          <w:sz w:val="24"/>
          <w:szCs w:val="24"/>
          <w:lang w:val="gl-ES"/>
        </w:rPr>
        <w:t xml:space="preserve"> ramas de actividade, </w:t>
      </w:r>
      <w:r>
        <w:rPr>
          <w:rFonts w:ascii="Arial" w:hAnsi="Arial" w:cs="Arial"/>
          <w:sz w:val="24"/>
          <w:szCs w:val="24"/>
          <w:lang w:val="gl-ES"/>
        </w:rPr>
        <w:t xml:space="preserve">aínda que </w:t>
      </w:r>
      <w:r w:rsidR="003758C2">
        <w:rPr>
          <w:rFonts w:ascii="Arial" w:hAnsi="Arial" w:cs="Arial"/>
          <w:sz w:val="24"/>
          <w:szCs w:val="24"/>
          <w:lang w:val="gl-ES"/>
        </w:rPr>
        <w:t>con fortes diferenzas entre</w:t>
      </w:r>
      <w:r w:rsidR="008F1AEA">
        <w:rPr>
          <w:rFonts w:ascii="Arial" w:hAnsi="Arial" w:cs="Arial"/>
          <w:sz w:val="24"/>
          <w:szCs w:val="24"/>
          <w:lang w:val="gl-ES"/>
        </w:rPr>
        <w:t xml:space="preserve"> estas</w:t>
      </w:r>
      <w:r>
        <w:rPr>
          <w:rFonts w:ascii="Arial" w:hAnsi="Arial" w:cs="Arial"/>
          <w:sz w:val="24"/>
          <w:szCs w:val="24"/>
          <w:lang w:val="gl-ES"/>
        </w:rPr>
        <w:t xml:space="preserve">. </w:t>
      </w:r>
      <w:r w:rsidR="003758C2">
        <w:rPr>
          <w:rFonts w:ascii="Arial" w:hAnsi="Arial" w:cs="Arial"/>
          <w:sz w:val="24"/>
          <w:szCs w:val="24"/>
          <w:lang w:val="gl-ES"/>
        </w:rPr>
        <w:t>De media</w:t>
      </w:r>
      <w:r w:rsidR="008F1AEA">
        <w:rPr>
          <w:rFonts w:ascii="Arial" w:hAnsi="Arial" w:cs="Arial"/>
          <w:sz w:val="24"/>
          <w:szCs w:val="24"/>
          <w:lang w:val="gl-ES"/>
        </w:rPr>
        <w:t>,</w:t>
      </w:r>
      <w:r w:rsidR="003758C2">
        <w:rPr>
          <w:rFonts w:ascii="Arial" w:hAnsi="Arial" w:cs="Arial"/>
          <w:sz w:val="24"/>
          <w:szCs w:val="24"/>
          <w:lang w:val="gl-ES"/>
        </w:rPr>
        <w:t xml:space="preserve"> son 4.513 euros menos os que ingresa unha muller con respecto </w:t>
      </w:r>
      <w:r w:rsidR="008F1AEA">
        <w:rPr>
          <w:rFonts w:ascii="Arial" w:hAnsi="Arial" w:cs="Arial"/>
          <w:sz w:val="24"/>
          <w:szCs w:val="24"/>
          <w:lang w:val="gl-ES"/>
        </w:rPr>
        <w:t>a</w:t>
      </w:r>
      <w:r w:rsidR="003758C2">
        <w:rPr>
          <w:rFonts w:ascii="Arial" w:hAnsi="Arial" w:cs="Arial"/>
          <w:sz w:val="24"/>
          <w:szCs w:val="24"/>
          <w:lang w:val="gl-ES"/>
        </w:rPr>
        <w:t xml:space="preserve"> un home. </w:t>
      </w:r>
    </w:p>
    <w:p w:rsidR="00B56C2B" w:rsidRDefault="00B56C2B" w:rsidP="00B56C2B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A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>
        <w:rPr>
          <w:rFonts w:ascii="Arial" w:hAnsi="Arial" w:cs="Arial"/>
          <w:sz w:val="24"/>
          <w:szCs w:val="24"/>
          <w:lang w:val="gl-ES"/>
        </w:rPr>
        <w:t>escasa presenza de mulleres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>
        <w:rPr>
          <w:rFonts w:ascii="Arial" w:hAnsi="Arial" w:cs="Arial"/>
          <w:sz w:val="24"/>
          <w:szCs w:val="24"/>
          <w:lang w:val="gl-ES"/>
        </w:rPr>
        <w:t>na construción, e as que están maioritariamente en traballos de oficina, fa</w:t>
      </w:r>
      <w:r w:rsidR="008F1AEA">
        <w:rPr>
          <w:rFonts w:ascii="Arial" w:hAnsi="Arial" w:cs="Arial"/>
          <w:sz w:val="24"/>
          <w:szCs w:val="24"/>
          <w:lang w:val="gl-ES"/>
        </w:rPr>
        <w:t>n</w:t>
      </w:r>
      <w:r>
        <w:rPr>
          <w:rFonts w:ascii="Arial" w:hAnsi="Arial" w:cs="Arial"/>
          <w:sz w:val="24"/>
          <w:szCs w:val="24"/>
          <w:lang w:val="gl-ES"/>
        </w:rPr>
        <w:t xml:space="preserve"> que neste sector sexa onde se rexistra a menor </w:t>
      </w:r>
      <w:r w:rsidR="00B533CD">
        <w:rPr>
          <w:rFonts w:ascii="Arial" w:hAnsi="Arial" w:cs="Arial"/>
          <w:sz w:val="24"/>
          <w:szCs w:val="24"/>
          <w:lang w:val="gl-ES"/>
        </w:rPr>
        <w:t>fenda</w:t>
      </w:r>
      <w:r>
        <w:rPr>
          <w:rFonts w:ascii="Arial" w:hAnsi="Arial" w:cs="Arial"/>
          <w:sz w:val="24"/>
          <w:szCs w:val="24"/>
          <w:lang w:val="gl-ES"/>
        </w:rPr>
        <w:t xml:space="preserve"> salarial</w:t>
      </w:r>
      <w:r w:rsidR="00121FA6">
        <w:rPr>
          <w:rFonts w:ascii="Arial" w:hAnsi="Arial" w:cs="Arial"/>
          <w:sz w:val="24"/>
          <w:szCs w:val="24"/>
          <w:lang w:val="gl-ES"/>
        </w:rPr>
        <w:t>, concretamente as mulleres cobran un</w:t>
      </w:r>
      <w:r w:rsidR="00BC2C99">
        <w:rPr>
          <w:rFonts w:ascii="Arial" w:hAnsi="Arial" w:cs="Arial"/>
          <w:sz w:val="24"/>
          <w:szCs w:val="24"/>
          <w:lang w:val="gl-ES"/>
        </w:rPr>
        <w:t xml:space="preserve"> </w:t>
      </w:r>
      <w:r w:rsidR="00121FA6">
        <w:rPr>
          <w:rFonts w:ascii="Arial" w:hAnsi="Arial" w:cs="Arial"/>
          <w:sz w:val="24"/>
          <w:szCs w:val="24"/>
          <w:lang w:val="gl-ES"/>
        </w:rPr>
        <w:t>8,2% menos que os homes</w:t>
      </w:r>
      <w:r w:rsidR="003758C2">
        <w:rPr>
          <w:rFonts w:ascii="Arial" w:hAnsi="Arial" w:cs="Arial"/>
          <w:sz w:val="24"/>
          <w:szCs w:val="24"/>
          <w:lang w:val="gl-ES"/>
        </w:rPr>
        <w:t>, o que equivale a 1.413 euros anuais.</w:t>
      </w:r>
    </w:p>
    <w:p w:rsidR="00B56C2B" w:rsidRDefault="00DA3337" w:rsidP="00B56C2B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A segunda rama de actividade con menor fenda correspóndese coa de</w:t>
      </w:r>
      <w:r w:rsidR="00B56C2B">
        <w:rPr>
          <w:rFonts w:ascii="Arial" w:hAnsi="Arial" w:cs="Arial"/>
          <w:sz w:val="24"/>
          <w:szCs w:val="24"/>
          <w:lang w:val="gl-ES"/>
        </w:rPr>
        <w:t xml:space="preserve"> servizos sociais</w:t>
      </w:r>
      <w:r w:rsidR="00BB2ECD">
        <w:rPr>
          <w:rFonts w:ascii="Arial" w:hAnsi="Arial" w:cs="Arial"/>
          <w:sz w:val="24"/>
          <w:szCs w:val="24"/>
          <w:lang w:val="gl-ES"/>
        </w:rPr>
        <w:t>,</w:t>
      </w:r>
      <w:r>
        <w:rPr>
          <w:rFonts w:ascii="Arial" w:hAnsi="Arial" w:cs="Arial"/>
          <w:sz w:val="24"/>
          <w:szCs w:val="24"/>
          <w:lang w:val="gl-ES"/>
        </w:rPr>
        <w:t xml:space="preserve"> un 16,5%</w:t>
      </w:r>
      <w:r w:rsidR="008F1AEA">
        <w:rPr>
          <w:rFonts w:ascii="Arial" w:hAnsi="Arial" w:cs="Arial"/>
          <w:sz w:val="24"/>
          <w:szCs w:val="24"/>
          <w:lang w:val="gl-ES"/>
        </w:rPr>
        <w:t>. A</w:t>
      </w:r>
      <w:r w:rsidR="00B56C2B">
        <w:rPr>
          <w:rFonts w:ascii="Arial" w:hAnsi="Arial" w:cs="Arial"/>
          <w:sz w:val="24"/>
          <w:szCs w:val="24"/>
          <w:lang w:val="gl-ES"/>
        </w:rPr>
        <w:t xml:space="preserve"> </w:t>
      </w:r>
      <w:r w:rsidR="008F1AEA">
        <w:rPr>
          <w:rFonts w:ascii="Arial" w:hAnsi="Arial" w:cs="Arial"/>
          <w:sz w:val="24"/>
          <w:szCs w:val="24"/>
          <w:lang w:val="gl-ES"/>
        </w:rPr>
        <w:t>A</w:t>
      </w:r>
      <w:r w:rsidR="00B56C2B">
        <w:rPr>
          <w:rFonts w:ascii="Arial" w:hAnsi="Arial" w:cs="Arial"/>
          <w:sz w:val="24"/>
          <w:szCs w:val="24"/>
          <w:lang w:val="gl-ES"/>
        </w:rPr>
        <w:t xml:space="preserve">xencia </w:t>
      </w:r>
      <w:r w:rsidR="008F1AEA">
        <w:rPr>
          <w:rFonts w:ascii="Arial" w:hAnsi="Arial" w:cs="Arial"/>
          <w:sz w:val="24"/>
          <w:szCs w:val="24"/>
          <w:lang w:val="gl-ES"/>
        </w:rPr>
        <w:t>T</w:t>
      </w:r>
      <w:r w:rsidR="00B56C2B">
        <w:rPr>
          <w:rFonts w:ascii="Arial" w:hAnsi="Arial" w:cs="Arial"/>
          <w:sz w:val="24"/>
          <w:szCs w:val="24"/>
          <w:lang w:val="gl-ES"/>
        </w:rPr>
        <w:t xml:space="preserve">ributaria inclúe </w:t>
      </w:r>
      <w:r>
        <w:rPr>
          <w:rFonts w:ascii="Arial" w:hAnsi="Arial" w:cs="Arial"/>
          <w:sz w:val="24"/>
          <w:szCs w:val="24"/>
          <w:lang w:val="gl-ES"/>
        </w:rPr>
        <w:t>n</w:t>
      </w:r>
      <w:r w:rsidR="008F1AEA">
        <w:rPr>
          <w:rFonts w:ascii="Arial" w:hAnsi="Arial" w:cs="Arial"/>
          <w:sz w:val="24"/>
          <w:szCs w:val="24"/>
          <w:lang w:val="gl-ES"/>
        </w:rPr>
        <w:t>ela</w:t>
      </w:r>
      <w:r>
        <w:rPr>
          <w:rFonts w:ascii="Arial" w:hAnsi="Arial" w:cs="Arial"/>
          <w:sz w:val="24"/>
          <w:szCs w:val="24"/>
          <w:lang w:val="gl-ES"/>
        </w:rPr>
        <w:t xml:space="preserve">: </w:t>
      </w:r>
      <w:r w:rsidR="00B56C2B">
        <w:rPr>
          <w:rFonts w:ascii="Arial" w:hAnsi="Arial" w:cs="Arial"/>
          <w:sz w:val="24"/>
          <w:szCs w:val="24"/>
          <w:lang w:val="gl-ES"/>
        </w:rPr>
        <w:t>sanidade, educación e persoal da administración pública</w:t>
      </w:r>
      <w:r w:rsidR="008F1AEA">
        <w:rPr>
          <w:rFonts w:ascii="Arial" w:hAnsi="Arial" w:cs="Arial"/>
          <w:sz w:val="24"/>
          <w:szCs w:val="24"/>
          <w:lang w:val="gl-ES"/>
        </w:rPr>
        <w:t>. O</w:t>
      </w:r>
      <w:r w:rsidR="00945AFD">
        <w:rPr>
          <w:rFonts w:ascii="Arial" w:hAnsi="Arial" w:cs="Arial"/>
          <w:sz w:val="24"/>
          <w:szCs w:val="24"/>
          <w:lang w:val="gl-ES"/>
        </w:rPr>
        <w:t xml:space="preserve"> 62% das persoas ocupadas nesta </w:t>
      </w:r>
      <w:r w:rsidR="008F1AEA">
        <w:rPr>
          <w:rFonts w:ascii="Arial" w:hAnsi="Arial" w:cs="Arial"/>
          <w:sz w:val="24"/>
          <w:szCs w:val="24"/>
          <w:lang w:val="gl-ES"/>
        </w:rPr>
        <w:t>rama de actividade son mulleres, D</w:t>
      </w:r>
      <w:r w:rsidR="00945AFD">
        <w:rPr>
          <w:rFonts w:ascii="Arial" w:hAnsi="Arial" w:cs="Arial"/>
          <w:sz w:val="24"/>
          <w:szCs w:val="24"/>
          <w:lang w:val="gl-ES"/>
        </w:rPr>
        <w:t>e feito</w:t>
      </w:r>
      <w:r w:rsidR="008F1AEA">
        <w:rPr>
          <w:rFonts w:ascii="Arial" w:hAnsi="Arial" w:cs="Arial"/>
          <w:sz w:val="24"/>
          <w:szCs w:val="24"/>
          <w:lang w:val="gl-ES"/>
        </w:rPr>
        <w:t>,</w:t>
      </w:r>
      <w:r w:rsidR="00945AFD">
        <w:rPr>
          <w:rFonts w:ascii="Arial" w:hAnsi="Arial" w:cs="Arial"/>
          <w:sz w:val="24"/>
          <w:szCs w:val="24"/>
          <w:lang w:val="gl-ES"/>
        </w:rPr>
        <w:t xml:space="preserve"> é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 w:rsidR="00945AFD">
        <w:rPr>
          <w:rFonts w:ascii="Arial" w:hAnsi="Arial" w:cs="Arial"/>
          <w:sz w:val="24"/>
          <w:szCs w:val="24"/>
          <w:lang w:val="gl-ES"/>
        </w:rPr>
        <w:t>a rama de actividade máis feminizada e a que ocupa a maior porcentaxe de mulleres, concretamente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 w:rsidR="008F1AEA">
        <w:rPr>
          <w:rFonts w:ascii="Arial" w:hAnsi="Arial" w:cs="Arial"/>
          <w:sz w:val="24"/>
          <w:szCs w:val="24"/>
          <w:lang w:val="gl-ES"/>
        </w:rPr>
        <w:t>o</w:t>
      </w:r>
      <w:r w:rsidR="00B56C2B">
        <w:rPr>
          <w:rFonts w:ascii="Arial" w:hAnsi="Arial" w:cs="Arial"/>
          <w:sz w:val="24"/>
          <w:szCs w:val="24"/>
          <w:lang w:val="gl-ES"/>
        </w:rPr>
        <w:t xml:space="preserve"> 33,5% das mulleres traballador</w:t>
      </w:r>
      <w:r w:rsidR="008F1AEA">
        <w:rPr>
          <w:rFonts w:ascii="Arial" w:hAnsi="Arial" w:cs="Arial"/>
          <w:sz w:val="24"/>
          <w:szCs w:val="24"/>
          <w:lang w:val="gl-ES"/>
        </w:rPr>
        <w:t>a</w:t>
      </w:r>
      <w:r w:rsidR="00B56C2B">
        <w:rPr>
          <w:rFonts w:ascii="Arial" w:hAnsi="Arial" w:cs="Arial"/>
          <w:sz w:val="24"/>
          <w:szCs w:val="24"/>
          <w:lang w:val="gl-ES"/>
        </w:rPr>
        <w:t>s en G</w:t>
      </w:r>
      <w:r w:rsidR="00B533CD">
        <w:rPr>
          <w:rFonts w:ascii="Arial" w:hAnsi="Arial" w:cs="Arial"/>
          <w:sz w:val="24"/>
          <w:szCs w:val="24"/>
          <w:lang w:val="gl-ES"/>
        </w:rPr>
        <w:t>aliza</w:t>
      </w:r>
      <w:r w:rsidR="00945AFD">
        <w:rPr>
          <w:rFonts w:ascii="Arial" w:hAnsi="Arial" w:cs="Arial"/>
          <w:sz w:val="24"/>
          <w:szCs w:val="24"/>
          <w:lang w:val="gl-ES"/>
        </w:rPr>
        <w:t xml:space="preserve">. </w:t>
      </w:r>
      <w:r w:rsidR="00E551E6">
        <w:rPr>
          <w:rFonts w:ascii="Arial" w:hAnsi="Arial" w:cs="Arial"/>
          <w:sz w:val="24"/>
          <w:szCs w:val="24"/>
          <w:lang w:val="gl-ES"/>
        </w:rPr>
        <w:t>É persoal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 w:rsidR="00B56C2B">
        <w:rPr>
          <w:rFonts w:ascii="Arial" w:hAnsi="Arial" w:cs="Arial"/>
          <w:sz w:val="24"/>
          <w:szCs w:val="24"/>
          <w:lang w:val="gl-ES"/>
        </w:rPr>
        <w:t>maioritariamente funcionari</w:t>
      </w:r>
      <w:r w:rsidR="00121FA6">
        <w:rPr>
          <w:rFonts w:ascii="Arial" w:hAnsi="Arial" w:cs="Arial"/>
          <w:sz w:val="24"/>
          <w:szCs w:val="24"/>
          <w:lang w:val="gl-ES"/>
        </w:rPr>
        <w:t>o</w:t>
      </w:r>
      <w:r w:rsidR="00B56C2B">
        <w:rPr>
          <w:rFonts w:ascii="Arial" w:hAnsi="Arial" w:cs="Arial"/>
          <w:sz w:val="24"/>
          <w:szCs w:val="24"/>
          <w:lang w:val="gl-ES"/>
        </w:rPr>
        <w:t xml:space="preserve">, </w:t>
      </w:r>
      <w:r w:rsidR="00121FA6">
        <w:rPr>
          <w:rFonts w:ascii="Arial" w:hAnsi="Arial" w:cs="Arial"/>
          <w:sz w:val="24"/>
          <w:szCs w:val="24"/>
          <w:lang w:val="gl-ES"/>
        </w:rPr>
        <w:t>polo que as condicións salariais son máis homoxéneas</w:t>
      </w:r>
      <w:r w:rsidR="008F1AEA">
        <w:rPr>
          <w:rFonts w:ascii="Arial" w:hAnsi="Arial" w:cs="Arial"/>
          <w:sz w:val="24"/>
          <w:szCs w:val="24"/>
          <w:lang w:val="gl-ES"/>
        </w:rPr>
        <w:t>. A</w:t>
      </w:r>
      <w:r w:rsidR="00121FA6">
        <w:rPr>
          <w:rFonts w:ascii="Arial" w:hAnsi="Arial" w:cs="Arial"/>
          <w:sz w:val="24"/>
          <w:szCs w:val="24"/>
          <w:lang w:val="gl-ES"/>
        </w:rPr>
        <w:t>índa así,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 w:rsidR="00B56C2B">
        <w:rPr>
          <w:rFonts w:ascii="Arial" w:hAnsi="Arial" w:cs="Arial"/>
          <w:sz w:val="24"/>
          <w:szCs w:val="24"/>
          <w:lang w:val="gl-ES"/>
        </w:rPr>
        <w:t xml:space="preserve">a </w:t>
      </w:r>
      <w:r w:rsidR="00BC2C99">
        <w:rPr>
          <w:rFonts w:ascii="Arial" w:hAnsi="Arial" w:cs="Arial"/>
          <w:sz w:val="24"/>
          <w:szCs w:val="24"/>
          <w:lang w:val="gl-ES"/>
        </w:rPr>
        <w:t>diferenza retributiva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 w:rsidR="00121FA6">
        <w:rPr>
          <w:rFonts w:ascii="Arial" w:hAnsi="Arial" w:cs="Arial"/>
          <w:sz w:val="24"/>
          <w:szCs w:val="24"/>
          <w:lang w:val="gl-ES"/>
        </w:rPr>
        <w:t>é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 w:rsidR="00B56C2B">
        <w:rPr>
          <w:rFonts w:ascii="Arial" w:hAnsi="Arial" w:cs="Arial"/>
          <w:sz w:val="24"/>
          <w:szCs w:val="24"/>
          <w:lang w:val="gl-ES"/>
        </w:rPr>
        <w:t>dun 16,5</w:t>
      </w:r>
      <w:r w:rsidR="00121FA6">
        <w:rPr>
          <w:rFonts w:ascii="Arial" w:hAnsi="Arial" w:cs="Arial"/>
          <w:sz w:val="24"/>
          <w:szCs w:val="24"/>
          <w:lang w:val="gl-ES"/>
        </w:rPr>
        <w:t>%,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 w:rsidR="00B56C2B">
        <w:rPr>
          <w:rFonts w:ascii="Arial" w:hAnsi="Arial" w:cs="Arial"/>
          <w:sz w:val="24"/>
          <w:szCs w:val="24"/>
          <w:lang w:val="gl-ES"/>
        </w:rPr>
        <w:t>excesivamente elevada</w:t>
      </w:r>
      <w:r w:rsidR="003758C2">
        <w:rPr>
          <w:rFonts w:ascii="Arial" w:hAnsi="Arial" w:cs="Arial"/>
          <w:sz w:val="24"/>
          <w:szCs w:val="24"/>
          <w:lang w:val="gl-ES"/>
        </w:rPr>
        <w:t>,</w:t>
      </w:r>
      <w:r w:rsidR="00121FA6">
        <w:rPr>
          <w:rFonts w:ascii="Arial" w:hAnsi="Arial" w:cs="Arial"/>
          <w:sz w:val="24"/>
          <w:szCs w:val="24"/>
          <w:lang w:val="gl-ES"/>
        </w:rPr>
        <w:t xml:space="preserve"> e denota a maior presenza de homes nos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 w:rsidR="00121FA6">
        <w:rPr>
          <w:rFonts w:ascii="Arial" w:hAnsi="Arial" w:cs="Arial"/>
          <w:sz w:val="24"/>
          <w:szCs w:val="24"/>
          <w:lang w:val="gl-ES"/>
        </w:rPr>
        <w:t>cargos de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 w:rsidR="00121FA6">
        <w:rPr>
          <w:rFonts w:ascii="Arial" w:hAnsi="Arial" w:cs="Arial"/>
          <w:sz w:val="24"/>
          <w:szCs w:val="24"/>
          <w:lang w:val="gl-ES"/>
        </w:rPr>
        <w:t>dirección</w:t>
      </w:r>
      <w:r w:rsidR="008F1AEA">
        <w:rPr>
          <w:rFonts w:ascii="Arial" w:hAnsi="Arial" w:cs="Arial"/>
          <w:sz w:val="24"/>
          <w:szCs w:val="24"/>
          <w:lang w:val="gl-ES"/>
        </w:rPr>
        <w:t>, o</w:t>
      </w:r>
      <w:r w:rsidR="00121FA6">
        <w:rPr>
          <w:rFonts w:ascii="Arial" w:hAnsi="Arial" w:cs="Arial"/>
          <w:sz w:val="24"/>
          <w:szCs w:val="24"/>
          <w:lang w:val="gl-ES"/>
        </w:rPr>
        <w:t>utro factor de discriminación moitas veces denunciado, e que neste caso queda claramente en evidencia.</w:t>
      </w:r>
      <w:r w:rsidR="003758C2">
        <w:rPr>
          <w:rFonts w:ascii="Arial" w:hAnsi="Arial" w:cs="Arial"/>
          <w:sz w:val="24"/>
          <w:szCs w:val="24"/>
          <w:lang w:val="gl-ES"/>
        </w:rPr>
        <w:t xml:space="preserve"> A diferenza de </w:t>
      </w:r>
      <w:r w:rsidR="00724403">
        <w:rPr>
          <w:rFonts w:ascii="Arial" w:hAnsi="Arial" w:cs="Arial"/>
          <w:sz w:val="24"/>
          <w:szCs w:val="24"/>
          <w:lang w:val="gl-ES"/>
        </w:rPr>
        <w:t>xénero</w:t>
      </w:r>
      <w:r w:rsidR="003758C2">
        <w:rPr>
          <w:rFonts w:ascii="Arial" w:hAnsi="Arial" w:cs="Arial"/>
          <w:sz w:val="24"/>
          <w:szCs w:val="24"/>
          <w:lang w:val="gl-ES"/>
        </w:rPr>
        <w:t xml:space="preserve"> acada aquí os 4.198 euros </w:t>
      </w:r>
      <w:r w:rsidR="008F1AEA">
        <w:rPr>
          <w:rFonts w:ascii="Arial" w:hAnsi="Arial" w:cs="Arial"/>
          <w:sz w:val="24"/>
          <w:szCs w:val="24"/>
          <w:lang w:val="gl-ES"/>
        </w:rPr>
        <w:t>ao</w:t>
      </w:r>
      <w:r w:rsidR="003758C2">
        <w:rPr>
          <w:rFonts w:ascii="Arial" w:hAnsi="Arial" w:cs="Arial"/>
          <w:sz w:val="24"/>
          <w:szCs w:val="24"/>
          <w:lang w:val="gl-ES"/>
        </w:rPr>
        <w:t xml:space="preserve"> ano.</w:t>
      </w:r>
    </w:p>
    <w:p w:rsidR="009D35D1" w:rsidRDefault="00121FA6" w:rsidP="00B56C2B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As outras dúas ramas de actividade onde a presenza feminina supera </w:t>
      </w:r>
      <w:r w:rsidR="008F1AEA">
        <w:rPr>
          <w:rFonts w:ascii="Arial" w:hAnsi="Arial" w:cs="Arial"/>
          <w:sz w:val="24"/>
          <w:szCs w:val="24"/>
          <w:lang w:val="gl-ES"/>
        </w:rPr>
        <w:t>o</w:t>
      </w:r>
      <w:r>
        <w:rPr>
          <w:rFonts w:ascii="Arial" w:hAnsi="Arial" w:cs="Arial"/>
          <w:sz w:val="24"/>
          <w:szCs w:val="24"/>
          <w:lang w:val="gl-ES"/>
        </w:rPr>
        <w:t xml:space="preserve"> 50% son </w:t>
      </w:r>
      <w:r w:rsidR="00BC2C99">
        <w:rPr>
          <w:rFonts w:ascii="Arial" w:hAnsi="Arial" w:cs="Arial"/>
          <w:sz w:val="24"/>
          <w:szCs w:val="24"/>
          <w:lang w:val="gl-ES"/>
        </w:rPr>
        <w:t xml:space="preserve">servizos </w:t>
      </w:r>
      <w:r w:rsidR="008F1AEA">
        <w:rPr>
          <w:rFonts w:ascii="Arial" w:hAnsi="Arial" w:cs="Arial"/>
          <w:sz w:val="24"/>
          <w:szCs w:val="24"/>
          <w:lang w:val="gl-ES"/>
        </w:rPr>
        <w:t>á</w:t>
      </w:r>
      <w:r w:rsidR="00BC2C99">
        <w:rPr>
          <w:rFonts w:ascii="Arial" w:hAnsi="Arial" w:cs="Arial"/>
          <w:sz w:val="24"/>
          <w:szCs w:val="24"/>
          <w:lang w:val="gl-ES"/>
        </w:rPr>
        <w:t>s empresas e outros servizos persoais e de</w:t>
      </w:r>
      <w:r w:rsidR="008F1AEA">
        <w:rPr>
          <w:rFonts w:ascii="Arial" w:hAnsi="Arial" w:cs="Arial"/>
          <w:sz w:val="24"/>
          <w:szCs w:val="24"/>
          <w:lang w:val="gl-ES"/>
        </w:rPr>
        <w:t xml:space="preserve"> lecer. N</w:t>
      </w:r>
      <w:r w:rsidR="00BC2C99">
        <w:rPr>
          <w:rFonts w:ascii="Arial" w:hAnsi="Arial" w:cs="Arial"/>
          <w:sz w:val="24"/>
          <w:szCs w:val="24"/>
          <w:lang w:val="gl-ES"/>
        </w:rPr>
        <w:t xml:space="preserve">estes casos a </w:t>
      </w:r>
      <w:r w:rsidR="00B533CD">
        <w:rPr>
          <w:rFonts w:ascii="Arial" w:hAnsi="Arial" w:cs="Arial"/>
          <w:sz w:val="24"/>
          <w:szCs w:val="24"/>
          <w:lang w:val="gl-ES"/>
        </w:rPr>
        <w:t>fenda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 w:rsidR="00BC2C99">
        <w:rPr>
          <w:rFonts w:ascii="Arial" w:hAnsi="Arial" w:cs="Arial"/>
          <w:sz w:val="24"/>
          <w:szCs w:val="24"/>
          <w:lang w:val="gl-ES"/>
        </w:rPr>
        <w:t>é do 29,2% e 27,7% respectivamente</w:t>
      </w:r>
      <w:r w:rsidR="00BB2ECD">
        <w:rPr>
          <w:rFonts w:ascii="Arial" w:hAnsi="Arial" w:cs="Arial"/>
          <w:sz w:val="24"/>
          <w:szCs w:val="24"/>
          <w:lang w:val="gl-ES"/>
        </w:rPr>
        <w:t>, moi superior á media</w:t>
      </w:r>
      <w:r w:rsidR="00BC2C99">
        <w:rPr>
          <w:rFonts w:ascii="Arial" w:hAnsi="Arial" w:cs="Arial"/>
          <w:sz w:val="24"/>
          <w:szCs w:val="24"/>
          <w:lang w:val="gl-ES"/>
        </w:rPr>
        <w:t>.</w:t>
      </w:r>
      <w:r w:rsidR="00DA3337">
        <w:rPr>
          <w:rFonts w:ascii="Arial" w:hAnsi="Arial" w:cs="Arial"/>
          <w:sz w:val="24"/>
          <w:szCs w:val="24"/>
          <w:lang w:val="gl-ES"/>
        </w:rPr>
        <w:t xml:space="preserve"> Ademais </w:t>
      </w:r>
      <w:r w:rsidR="00BB2ECD">
        <w:rPr>
          <w:rFonts w:ascii="Arial" w:hAnsi="Arial" w:cs="Arial"/>
          <w:sz w:val="24"/>
          <w:szCs w:val="24"/>
          <w:lang w:val="gl-ES"/>
        </w:rPr>
        <w:t xml:space="preserve">son </w:t>
      </w:r>
      <w:r w:rsidR="008F1AEA">
        <w:rPr>
          <w:rFonts w:ascii="Arial" w:hAnsi="Arial" w:cs="Arial"/>
          <w:sz w:val="24"/>
          <w:szCs w:val="24"/>
          <w:lang w:val="gl-ES"/>
        </w:rPr>
        <w:t>a</w:t>
      </w:r>
      <w:r w:rsidR="00BB2ECD">
        <w:rPr>
          <w:rFonts w:ascii="Arial" w:hAnsi="Arial" w:cs="Arial"/>
          <w:sz w:val="24"/>
          <w:szCs w:val="24"/>
          <w:lang w:val="gl-ES"/>
        </w:rPr>
        <w:t>s dú</w:t>
      </w:r>
      <w:r w:rsidR="00DA3337">
        <w:rPr>
          <w:rFonts w:ascii="Arial" w:hAnsi="Arial" w:cs="Arial"/>
          <w:sz w:val="24"/>
          <w:szCs w:val="24"/>
          <w:lang w:val="gl-ES"/>
        </w:rPr>
        <w:t>as ramas onde o salario medio anual é máis baixo</w:t>
      </w:r>
      <w:r w:rsidR="009D35D1">
        <w:rPr>
          <w:rFonts w:ascii="Arial" w:hAnsi="Arial" w:cs="Arial"/>
          <w:sz w:val="24"/>
          <w:szCs w:val="24"/>
          <w:lang w:val="gl-ES"/>
        </w:rPr>
        <w:t xml:space="preserve"> e onde medrou o emprego desde o ano 2008.</w:t>
      </w:r>
    </w:p>
    <w:p w:rsidR="003F44EB" w:rsidRPr="003F44EB" w:rsidRDefault="003F44EB" w:rsidP="003F44EB">
      <w:pPr>
        <w:jc w:val="center"/>
        <w:rPr>
          <w:rFonts w:ascii="Arial" w:hAnsi="Arial" w:cs="Arial"/>
          <w:b/>
          <w:sz w:val="24"/>
          <w:szCs w:val="24"/>
          <w:lang w:val="gl-ES"/>
        </w:rPr>
      </w:pPr>
      <w:r w:rsidRPr="003F44EB">
        <w:rPr>
          <w:rFonts w:ascii="Arial" w:hAnsi="Arial" w:cs="Arial"/>
          <w:b/>
          <w:sz w:val="24"/>
          <w:szCs w:val="24"/>
          <w:lang w:val="gl-ES"/>
        </w:rPr>
        <w:lastRenderedPageBreak/>
        <w:t>Na rama de</w:t>
      </w:r>
      <w:r w:rsidR="00724403">
        <w:rPr>
          <w:rFonts w:ascii="Arial" w:hAnsi="Arial" w:cs="Arial"/>
          <w:b/>
          <w:sz w:val="24"/>
          <w:szCs w:val="24"/>
          <w:lang w:val="gl-ES"/>
        </w:rPr>
        <w:t xml:space="preserve"> </w:t>
      </w:r>
      <w:r w:rsidRPr="003F44EB">
        <w:rPr>
          <w:rFonts w:ascii="Arial" w:hAnsi="Arial" w:cs="Arial"/>
          <w:b/>
          <w:sz w:val="24"/>
          <w:szCs w:val="24"/>
          <w:lang w:val="gl-ES"/>
        </w:rPr>
        <w:t xml:space="preserve">actividade de menores ingresos foi onde máis medrou a </w:t>
      </w:r>
      <w:r w:rsidR="007E1DB1" w:rsidRPr="003F44EB">
        <w:rPr>
          <w:rFonts w:ascii="Arial" w:hAnsi="Arial" w:cs="Arial"/>
          <w:b/>
          <w:sz w:val="24"/>
          <w:szCs w:val="24"/>
          <w:lang w:val="gl-ES"/>
        </w:rPr>
        <w:t>ocupación</w:t>
      </w:r>
      <w:r w:rsidRPr="003F44EB">
        <w:rPr>
          <w:rFonts w:ascii="Arial" w:hAnsi="Arial" w:cs="Arial"/>
          <w:b/>
          <w:sz w:val="24"/>
          <w:szCs w:val="24"/>
          <w:lang w:val="gl-ES"/>
        </w:rPr>
        <w:t xml:space="preserve"> feminina. Servizos persoa</w:t>
      </w:r>
      <w:r w:rsidR="008F1AEA">
        <w:rPr>
          <w:rFonts w:ascii="Arial" w:hAnsi="Arial" w:cs="Arial"/>
          <w:b/>
          <w:sz w:val="24"/>
          <w:szCs w:val="24"/>
          <w:lang w:val="gl-ES"/>
        </w:rPr>
        <w:t>i</w:t>
      </w:r>
      <w:r w:rsidRPr="003F44EB">
        <w:rPr>
          <w:rFonts w:ascii="Arial" w:hAnsi="Arial" w:cs="Arial"/>
          <w:b/>
          <w:sz w:val="24"/>
          <w:szCs w:val="24"/>
          <w:lang w:val="gl-ES"/>
        </w:rPr>
        <w:t>s e de</w:t>
      </w:r>
      <w:r w:rsidR="008F1AEA">
        <w:rPr>
          <w:rFonts w:ascii="Arial" w:hAnsi="Arial" w:cs="Arial"/>
          <w:b/>
          <w:sz w:val="24"/>
          <w:szCs w:val="24"/>
          <w:lang w:val="gl-ES"/>
        </w:rPr>
        <w:t xml:space="preserve"> lecer</w:t>
      </w:r>
    </w:p>
    <w:p w:rsidR="00121FA6" w:rsidRDefault="009D35D1" w:rsidP="00B56C2B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No que atinxe a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 w:rsidR="00BB2ECD">
        <w:rPr>
          <w:rFonts w:ascii="Arial" w:hAnsi="Arial" w:cs="Arial"/>
          <w:sz w:val="24"/>
          <w:szCs w:val="24"/>
          <w:lang w:val="gl-ES"/>
        </w:rPr>
        <w:t>outro</w:t>
      </w:r>
      <w:r>
        <w:rPr>
          <w:rFonts w:ascii="Arial" w:hAnsi="Arial" w:cs="Arial"/>
          <w:sz w:val="24"/>
          <w:szCs w:val="24"/>
          <w:lang w:val="gl-ES"/>
        </w:rPr>
        <w:t>s</w:t>
      </w:r>
      <w:r w:rsidR="00BB2ECD">
        <w:rPr>
          <w:rFonts w:ascii="Arial" w:hAnsi="Arial" w:cs="Arial"/>
          <w:sz w:val="24"/>
          <w:szCs w:val="24"/>
          <w:lang w:val="gl-ES"/>
        </w:rPr>
        <w:t xml:space="preserve"> servizos persoais e de</w:t>
      </w:r>
      <w:r w:rsidR="008F1AEA">
        <w:rPr>
          <w:rFonts w:ascii="Arial" w:hAnsi="Arial" w:cs="Arial"/>
          <w:sz w:val="24"/>
          <w:szCs w:val="24"/>
          <w:lang w:val="gl-ES"/>
        </w:rPr>
        <w:t xml:space="preserve"> lecer</w:t>
      </w:r>
      <w:r w:rsidR="00BB2ECD">
        <w:rPr>
          <w:rFonts w:ascii="Arial" w:hAnsi="Arial" w:cs="Arial"/>
          <w:sz w:val="24"/>
          <w:szCs w:val="24"/>
          <w:lang w:val="gl-ES"/>
        </w:rPr>
        <w:t>, o SMA foi de 7.600 euros</w:t>
      </w:r>
      <w:r>
        <w:rPr>
          <w:rFonts w:ascii="Arial" w:hAnsi="Arial" w:cs="Arial"/>
          <w:sz w:val="24"/>
          <w:szCs w:val="24"/>
          <w:lang w:val="gl-ES"/>
        </w:rPr>
        <w:t xml:space="preserve"> anuais en 2016</w:t>
      </w:r>
      <w:r w:rsidR="00BB2ECD">
        <w:rPr>
          <w:rFonts w:ascii="Arial" w:hAnsi="Arial" w:cs="Arial"/>
          <w:sz w:val="24"/>
          <w:szCs w:val="24"/>
          <w:lang w:val="gl-ES"/>
        </w:rPr>
        <w:t xml:space="preserve">, como vemos inferior </w:t>
      </w:r>
      <w:r w:rsidR="008F1AEA">
        <w:rPr>
          <w:rFonts w:ascii="Arial" w:hAnsi="Arial" w:cs="Arial"/>
          <w:sz w:val="24"/>
          <w:szCs w:val="24"/>
          <w:lang w:val="gl-ES"/>
        </w:rPr>
        <w:t>ao</w:t>
      </w:r>
      <w:r w:rsidR="00BB2ECD">
        <w:rPr>
          <w:rFonts w:ascii="Arial" w:hAnsi="Arial" w:cs="Arial"/>
          <w:sz w:val="24"/>
          <w:szCs w:val="24"/>
          <w:lang w:val="gl-ES"/>
        </w:rPr>
        <w:t xml:space="preserve"> Salario Mínimo Interprofesional. Esta rama de actividade ocupa </w:t>
      </w:r>
      <w:r w:rsidR="008F1AEA">
        <w:rPr>
          <w:rFonts w:ascii="Arial" w:hAnsi="Arial" w:cs="Arial"/>
          <w:sz w:val="24"/>
          <w:szCs w:val="24"/>
          <w:lang w:val="gl-ES"/>
        </w:rPr>
        <w:t>o</w:t>
      </w:r>
      <w:r w:rsidR="00BB2ECD">
        <w:rPr>
          <w:rFonts w:ascii="Arial" w:hAnsi="Arial" w:cs="Arial"/>
          <w:sz w:val="24"/>
          <w:szCs w:val="24"/>
          <w:lang w:val="gl-ES"/>
        </w:rPr>
        <w:t xml:space="preserve"> </w:t>
      </w:r>
      <w:r>
        <w:rPr>
          <w:rFonts w:ascii="Arial" w:hAnsi="Arial" w:cs="Arial"/>
          <w:sz w:val="24"/>
          <w:szCs w:val="24"/>
          <w:lang w:val="gl-ES"/>
        </w:rPr>
        <w:t>15% de t</w:t>
      </w:r>
      <w:r w:rsidR="00724403">
        <w:rPr>
          <w:rFonts w:ascii="Arial" w:hAnsi="Arial" w:cs="Arial"/>
          <w:sz w:val="24"/>
          <w:szCs w:val="24"/>
          <w:lang w:val="gl-ES"/>
        </w:rPr>
        <w:t>odas as</w:t>
      </w:r>
      <w:r>
        <w:rPr>
          <w:rFonts w:ascii="Arial" w:hAnsi="Arial" w:cs="Arial"/>
          <w:sz w:val="24"/>
          <w:szCs w:val="24"/>
          <w:lang w:val="gl-ES"/>
        </w:rPr>
        <w:t xml:space="preserve"> mulleres traballadoras galegas e foi na que máis medrou a ocupación desde o ano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>
        <w:rPr>
          <w:rFonts w:ascii="Arial" w:hAnsi="Arial" w:cs="Arial"/>
          <w:sz w:val="24"/>
          <w:szCs w:val="24"/>
          <w:lang w:val="gl-ES"/>
        </w:rPr>
        <w:t>2008, concretamente un 15%, cando de media hai</w:t>
      </w:r>
      <w:r w:rsidR="008F1AEA">
        <w:rPr>
          <w:rFonts w:ascii="Arial" w:hAnsi="Arial" w:cs="Arial"/>
          <w:sz w:val="24"/>
          <w:szCs w:val="24"/>
          <w:lang w:val="gl-ES"/>
        </w:rPr>
        <w:t xml:space="preserve"> un</w:t>
      </w:r>
      <w:r>
        <w:rPr>
          <w:rFonts w:ascii="Arial" w:hAnsi="Arial" w:cs="Arial"/>
          <w:sz w:val="24"/>
          <w:szCs w:val="24"/>
          <w:lang w:val="gl-ES"/>
        </w:rPr>
        <w:t xml:space="preserve"> 0,5% asalariadas menos.</w:t>
      </w:r>
    </w:p>
    <w:p w:rsidR="00BC2C99" w:rsidRDefault="00BC2C99" w:rsidP="00BC2C99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No resto das ramas de actividade a diferenza salarial </w:t>
      </w:r>
      <w:r w:rsidR="005D03E9">
        <w:rPr>
          <w:rFonts w:ascii="Arial" w:hAnsi="Arial" w:cs="Arial"/>
          <w:sz w:val="24"/>
          <w:szCs w:val="24"/>
          <w:lang w:val="gl-ES"/>
        </w:rPr>
        <w:t xml:space="preserve">supera </w:t>
      </w:r>
      <w:r w:rsidR="008F1AEA">
        <w:rPr>
          <w:rFonts w:ascii="Arial" w:hAnsi="Arial" w:cs="Arial"/>
          <w:sz w:val="24"/>
          <w:szCs w:val="24"/>
          <w:lang w:val="gl-ES"/>
        </w:rPr>
        <w:t>o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>
        <w:rPr>
          <w:rFonts w:ascii="Arial" w:hAnsi="Arial" w:cs="Arial"/>
          <w:sz w:val="24"/>
          <w:szCs w:val="24"/>
          <w:lang w:val="gl-ES"/>
        </w:rPr>
        <w:t>25%</w:t>
      </w:r>
      <w:r w:rsidR="005D03E9">
        <w:rPr>
          <w:rFonts w:ascii="Arial" w:hAnsi="Arial" w:cs="Arial"/>
          <w:sz w:val="24"/>
          <w:szCs w:val="24"/>
          <w:lang w:val="gl-ES"/>
        </w:rPr>
        <w:t xml:space="preserve"> en t</w:t>
      </w:r>
      <w:r w:rsidR="00724403">
        <w:rPr>
          <w:rFonts w:ascii="Arial" w:hAnsi="Arial" w:cs="Arial"/>
          <w:sz w:val="24"/>
          <w:szCs w:val="24"/>
          <w:lang w:val="gl-ES"/>
        </w:rPr>
        <w:t>odos os</w:t>
      </w:r>
      <w:r w:rsidR="005D03E9">
        <w:rPr>
          <w:rFonts w:ascii="Arial" w:hAnsi="Arial" w:cs="Arial"/>
          <w:sz w:val="24"/>
          <w:szCs w:val="24"/>
          <w:lang w:val="gl-ES"/>
        </w:rPr>
        <w:t xml:space="preserve"> casos</w:t>
      </w:r>
      <w:r>
        <w:rPr>
          <w:rFonts w:ascii="Arial" w:hAnsi="Arial" w:cs="Arial"/>
          <w:sz w:val="24"/>
          <w:szCs w:val="24"/>
          <w:lang w:val="gl-ES"/>
        </w:rPr>
        <w:t>.</w:t>
      </w:r>
    </w:p>
    <w:p w:rsidR="00BC2C99" w:rsidRDefault="008F1AEA" w:rsidP="00B56C2B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Se</w:t>
      </w:r>
      <w:r w:rsidR="00BC2C99">
        <w:rPr>
          <w:rFonts w:ascii="Arial" w:hAnsi="Arial" w:cs="Arial"/>
          <w:sz w:val="24"/>
          <w:szCs w:val="24"/>
          <w:lang w:val="gl-ES"/>
        </w:rPr>
        <w:t xml:space="preserve"> desta clasificación deixamos a un lado </w:t>
      </w:r>
      <w:r>
        <w:rPr>
          <w:rFonts w:ascii="Arial" w:hAnsi="Arial" w:cs="Arial"/>
          <w:sz w:val="24"/>
          <w:szCs w:val="24"/>
          <w:lang w:val="gl-ES"/>
        </w:rPr>
        <w:t>o</w:t>
      </w:r>
      <w:r w:rsidR="00BC2C99">
        <w:rPr>
          <w:rFonts w:ascii="Arial" w:hAnsi="Arial" w:cs="Arial"/>
          <w:sz w:val="24"/>
          <w:szCs w:val="24"/>
          <w:lang w:val="gl-ES"/>
        </w:rPr>
        <w:t xml:space="preserve"> persoal da administración pública, estaríamos falando, probab</w:t>
      </w:r>
      <w:r>
        <w:rPr>
          <w:rFonts w:ascii="Arial" w:hAnsi="Arial" w:cs="Arial"/>
          <w:sz w:val="24"/>
          <w:szCs w:val="24"/>
          <w:lang w:val="gl-ES"/>
        </w:rPr>
        <w:t>e</w:t>
      </w:r>
      <w:r w:rsidR="00BC2C99">
        <w:rPr>
          <w:rFonts w:ascii="Arial" w:hAnsi="Arial" w:cs="Arial"/>
          <w:sz w:val="24"/>
          <w:szCs w:val="24"/>
          <w:lang w:val="gl-ES"/>
        </w:rPr>
        <w:t>lmente,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 w:rsidR="00BC2C99">
        <w:rPr>
          <w:rFonts w:ascii="Arial" w:hAnsi="Arial" w:cs="Arial"/>
          <w:sz w:val="24"/>
          <w:szCs w:val="24"/>
          <w:lang w:val="gl-ES"/>
        </w:rPr>
        <w:t xml:space="preserve">dunha </w:t>
      </w:r>
      <w:r w:rsidR="00B533CD">
        <w:rPr>
          <w:rFonts w:ascii="Arial" w:hAnsi="Arial" w:cs="Arial"/>
          <w:sz w:val="24"/>
          <w:szCs w:val="24"/>
          <w:lang w:val="gl-ES"/>
        </w:rPr>
        <w:t>fenda</w:t>
      </w:r>
      <w:r w:rsidR="00BC2C99">
        <w:rPr>
          <w:rFonts w:ascii="Arial" w:hAnsi="Arial" w:cs="Arial"/>
          <w:sz w:val="24"/>
          <w:szCs w:val="24"/>
          <w:lang w:val="gl-ES"/>
        </w:rPr>
        <w:t xml:space="preserve"> salarial media superior </w:t>
      </w:r>
      <w:r>
        <w:rPr>
          <w:rFonts w:ascii="Arial" w:hAnsi="Arial" w:cs="Arial"/>
          <w:sz w:val="24"/>
          <w:szCs w:val="24"/>
          <w:lang w:val="gl-ES"/>
        </w:rPr>
        <w:t>ao</w:t>
      </w:r>
      <w:r w:rsidR="00BC2C99">
        <w:rPr>
          <w:rFonts w:ascii="Arial" w:hAnsi="Arial" w:cs="Arial"/>
          <w:sz w:val="24"/>
          <w:szCs w:val="24"/>
          <w:lang w:val="gl-ES"/>
        </w:rPr>
        <w:t xml:space="preserve"> 27%, e non o 22,4% que é neste momento.</w:t>
      </w:r>
    </w:p>
    <w:p w:rsidR="00CC1BD5" w:rsidRDefault="00173BA9" w:rsidP="00B56C2B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Xunto </w:t>
      </w:r>
      <w:r w:rsidR="008F1AEA">
        <w:rPr>
          <w:rFonts w:ascii="Arial" w:hAnsi="Arial" w:cs="Arial"/>
          <w:sz w:val="24"/>
          <w:szCs w:val="24"/>
          <w:lang w:val="gl-ES"/>
        </w:rPr>
        <w:t>á</w:t>
      </w:r>
      <w:r>
        <w:rPr>
          <w:rFonts w:ascii="Arial" w:hAnsi="Arial" w:cs="Arial"/>
          <w:sz w:val="24"/>
          <w:szCs w:val="24"/>
          <w:lang w:val="gl-ES"/>
        </w:rPr>
        <w:t>s diferenzas coas retribucións dos homes, perviven fortes desigualdades salariais entre</w:t>
      </w:r>
      <w:r w:rsidR="00CC1BD5">
        <w:rPr>
          <w:rFonts w:ascii="Arial" w:hAnsi="Arial" w:cs="Arial"/>
          <w:sz w:val="24"/>
          <w:szCs w:val="24"/>
          <w:lang w:val="gl-ES"/>
        </w:rPr>
        <w:t xml:space="preserve"> as propias mulleres</w:t>
      </w:r>
      <w:r w:rsidR="008F1AEA">
        <w:rPr>
          <w:rFonts w:ascii="Arial" w:hAnsi="Arial" w:cs="Arial"/>
          <w:sz w:val="24"/>
          <w:szCs w:val="24"/>
          <w:lang w:val="gl-ES"/>
        </w:rPr>
        <w:t>. No</w:t>
      </w:r>
      <w:r w:rsidR="00CC1BD5">
        <w:rPr>
          <w:rFonts w:ascii="Arial" w:hAnsi="Arial" w:cs="Arial"/>
          <w:sz w:val="24"/>
          <w:szCs w:val="24"/>
          <w:lang w:val="gl-ES"/>
        </w:rPr>
        <w:t xml:space="preserve">vamente </w:t>
      </w:r>
      <w:r w:rsidR="008F1AEA">
        <w:rPr>
          <w:rFonts w:ascii="Arial" w:hAnsi="Arial" w:cs="Arial"/>
          <w:sz w:val="24"/>
          <w:szCs w:val="24"/>
          <w:lang w:val="gl-ES"/>
        </w:rPr>
        <w:t>i</w:t>
      </w:r>
      <w:r w:rsidR="00CC1BD5">
        <w:rPr>
          <w:rFonts w:ascii="Arial" w:hAnsi="Arial" w:cs="Arial"/>
          <w:sz w:val="24"/>
          <w:szCs w:val="24"/>
          <w:lang w:val="gl-ES"/>
        </w:rPr>
        <w:t xml:space="preserve">mos utilizar os datos que nos proporciona a </w:t>
      </w:r>
      <w:r w:rsidR="008F1AEA">
        <w:rPr>
          <w:rFonts w:ascii="Arial" w:hAnsi="Arial" w:cs="Arial"/>
          <w:sz w:val="24"/>
          <w:szCs w:val="24"/>
          <w:lang w:val="gl-ES"/>
        </w:rPr>
        <w:t>A</w:t>
      </w:r>
      <w:r w:rsidR="00F34B22">
        <w:rPr>
          <w:rFonts w:ascii="Arial" w:hAnsi="Arial" w:cs="Arial"/>
          <w:sz w:val="24"/>
          <w:szCs w:val="24"/>
          <w:lang w:val="gl-ES"/>
        </w:rPr>
        <w:t xml:space="preserve">xencia </w:t>
      </w:r>
      <w:r w:rsidR="008F1AEA">
        <w:rPr>
          <w:rFonts w:ascii="Arial" w:hAnsi="Arial" w:cs="Arial"/>
          <w:sz w:val="24"/>
          <w:szCs w:val="24"/>
          <w:lang w:val="gl-ES"/>
        </w:rPr>
        <w:t>T</w:t>
      </w:r>
      <w:r w:rsidR="00F34B22">
        <w:rPr>
          <w:rFonts w:ascii="Arial" w:hAnsi="Arial" w:cs="Arial"/>
          <w:sz w:val="24"/>
          <w:szCs w:val="24"/>
          <w:lang w:val="gl-ES"/>
        </w:rPr>
        <w:t>ributaria.</w:t>
      </w:r>
    </w:p>
    <w:p w:rsidR="006153B9" w:rsidRDefault="006153B9" w:rsidP="00B56C2B">
      <w:pPr>
        <w:jc w:val="both"/>
        <w:rPr>
          <w:rFonts w:ascii="Arial" w:hAnsi="Arial" w:cs="Arial"/>
          <w:sz w:val="24"/>
          <w:szCs w:val="24"/>
          <w:lang w:val="gl-ES"/>
        </w:rPr>
      </w:pPr>
    </w:p>
    <w:p w:rsidR="006153B9" w:rsidRDefault="006153B9" w:rsidP="006153B9">
      <w:pPr>
        <w:jc w:val="center"/>
        <w:rPr>
          <w:rFonts w:ascii="Arial" w:hAnsi="Arial" w:cs="Arial"/>
          <w:b/>
          <w:sz w:val="24"/>
          <w:szCs w:val="24"/>
          <w:lang w:val="gl-ES"/>
        </w:rPr>
      </w:pPr>
      <w:r w:rsidRPr="006153B9">
        <w:rPr>
          <w:rFonts w:ascii="Arial" w:hAnsi="Arial" w:cs="Arial"/>
          <w:b/>
          <w:sz w:val="24"/>
          <w:szCs w:val="24"/>
          <w:lang w:val="gl-ES"/>
        </w:rPr>
        <w:t>Os ingresos salariais das mulleres en G</w:t>
      </w:r>
      <w:r w:rsidR="00B533CD">
        <w:rPr>
          <w:rFonts w:ascii="Arial" w:hAnsi="Arial" w:cs="Arial"/>
          <w:b/>
          <w:sz w:val="24"/>
          <w:szCs w:val="24"/>
          <w:lang w:val="gl-ES"/>
        </w:rPr>
        <w:t>aliza</w:t>
      </w:r>
      <w:r w:rsidRPr="006153B9">
        <w:rPr>
          <w:rFonts w:ascii="Arial" w:hAnsi="Arial" w:cs="Arial"/>
          <w:b/>
          <w:sz w:val="24"/>
          <w:szCs w:val="24"/>
          <w:lang w:val="gl-ES"/>
        </w:rPr>
        <w:t xml:space="preserve"> perderon un 9,3</w:t>
      </w:r>
      <w:r w:rsidR="006D09C9">
        <w:rPr>
          <w:rFonts w:ascii="Arial" w:hAnsi="Arial" w:cs="Arial"/>
          <w:b/>
          <w:sz w:val="24"/>
          <w:szCs w:val="24"/>
          <w:lang w:val="gl-ES"/>
        </w:rPr>
        <w:t>%</w:t>
      </w:r>
      <w:r w:rsidRPr="006153B9">
        <w:rPr>
          <w:rFonts w:ascii="Arial" w:hAnsi="Arial" w:cs="Arial"/>
          <w:b/>
          <w:sz w:val="24"/>
          <w:szCs w:val="24"/>
          <w:lang w:val="gl-ES"/>
        </w:rPr>
        <w:t xml:space="preserve"> de poder adquisitivo desde o ano 2009.</w:t>
      </w:r>
    </w:p>
    <w:p w:rsidR="006153B9" w:rsidRPr="006153B9" w:rsidRDefault="006153B9" w:rsidP="006153B9">
      <w:pPr>
        <w:jc w:val="center"/>
        <w:rPr>
          <w:rFonts w:ascii="Arial" w:hAnsi="Arial" w:cs="Arial"/>
          <w:b/>
          <w:sz w:val="24"/>
          <w:szCs w:val="24"/>
          <w:lang w:val="gl-ES"/>
        </w:rPr>
      </w:pPr>
    </w:p>
    <w:p w:rsidR="00BB7AD5" w:rsidRDefault="00BB7AD5" w:rsidP="00B56C2B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Asalariadas segundo tramo de ingreso.</w:t>
      </w:r>
    </w:p>
    <w:tbl>
      <w:tblPr>
        <w:tblStyle w:val="Sombreadoclaro-nfasis4"/>
        <w:tblW w:w="10705" w:type="dxa"/>
        <w:tblInd w:w="-921" w:type="dxa"/>
        <w:tblLook w:val="04A0"/>
      </w:tblPr>
      <w:tblGrid>
        <w:gridCol w:w="2059"/>
        <w:gridCol w:w="1056"/>
        <w:gridCol w:w="1055"/>
        <w:gridCol w:w="1055"/>
        <w:gridCol w:w="1055"/>
        <w:gridCol w:w="1055"/>
        <w:gridCol w:w="1055"/>
        <w:gridCol w:w="1380"/>
        <w:gridCol w:w="935"/>
      </w:tblGrid>
      <w:tr w:rsidR="00F34B22" w:rsidRPr="00F34B22" w:rsidTr="00BB7AD5">
        <w:trPr>
          <w:cnfStyle w:val="100000000000"/>
          <w:trHeight w:val="300"/>
        </w:trPr>
        <w:tc>
          <w:tcPr>
            <w:cnfStyle w:val="001000000000"/>
            <w:tcW w:w="0" w:type="auto"/>
            <w:hideMark/>
          </w:tcPr>
          <w:p w:rsidR="00F34B22" w:rsidRPr="00F34B22" w:rsidRDefault="00F34B22" w:rsidP="00F34B22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</w:p>
        </w:tc>
        <w:tc>
          <w:tcPr>
            <w:tcW w:w="0" w:type="auto"/>
            <w:gridSpan w:val="3"/>
            <w:hideMark/>
          </w:tcPr>
          <w:p w:rsidR="00F34B22" w:rsidRPr="00F34B22" w:rsidRDefault="00F34B22" w:rsidP="00F34B22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Asalariadas</w:t>
            </w:r>
          </w:p>
        </w:tc>
        <w:tc>
          <w:tcPr>
            <w:tcW w:w="0" w:type="auto"/>
            <w:gridSpan w:val="3"/>
            <w:hideMark/>
          </w:tcPr>
          <w:p w:rsidR="00F34B22" w:rsidRPr="00F34B22" w:rsidRDefault="00F34B22" w:rsidP="00F34B22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Salario medio anual</w:t>
            </w:r>
          </w:p>
        </w:tc>
        <w:tc>
          <w:tcPr>
            <w:tcW w:w="0" w:type="auto"/>
            <w:gridSpan w:val="2"/>
            <w:noWrap/>
            <w:hideMark/>
          </w:tcPr>
          <w:p w:rsidR="00F34B22" w:rsidRPr="00F34B22" w:rsidRDefault="00F34B22" w:rsidP="00F34B22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Variación</w:t>
            </w:r>
            <w:r w:rsidR="00BB7AD5"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16/09</w:t>
            </w:r>
          </w:p>
        </w:tc>
      </w:tr>
      <w:tr w:rsidR="00F34B22" w:rsidRPr="00F34B22" w:rsidTr="00BB7AD5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F34B22" w:rsidRPr="00F34B22" w:rsidRDefault="00F34B22" w:rsidP="00F34B22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  <w:t>2009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  <w:t>2015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  <w:t>2016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  <w:t>2009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  <w:t>2015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  <w:t>2016</w:t>
            </w:r>
          </w:p>
        </w:tc>
        <w:tc>
          <w:tcPr>
            <w:tcW w:w="0" w:type="auto"/>
            <w:noWrap/>
            <w:hideMark/>
          </w:tcPr>
          <w:p w:rsidR="00F34B22" w:rsidRPr="00F34B22" w:rsidRDefault="008F1AEA" w:rsidP="00F34B22">
            <w:pPr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>A</w:t>
            </w:r>
            <w:r w:rsidR="00F34B22"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salariadas</w:t>
            </w:r>
          </w:p>
        </w:tc>
        <w:tc>
          <w:tcPr>
            <w:tcW w:w="0" w:type="auto"/>
            <w:noWrap/>
            <w:hideMark/>
          </w:tcPr>
          <w:p w:rsidR="00BB7AD5" w:rsidRPr="00BB7AD5" w:rsidRDefault="00F34B22" w:rsidP="00F34B22">
            <w:pPr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Salario</w:t>
            </w:r>
          </w:p>
          <w:p w:rsidR="00BB7AD5" w:rsidRPr="00BB7AD5" w:rsidRDefault="008F1AEA" w:rsidP="00F34B22">
            <w:pPr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m</w:t>
            </w:r>
            <w:r w:rsidR="00F34B22"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edio </w:t>
            </w:r>
          </w:p>
          <w:p w:rsidR="00F34B22" w:rsidRPr="00F34B22" w:rsidRDefault="008F1AEA" w:rsidP="00F34B22">
            <w:pPr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>a</w:t>
            </w:r>
            <w:r w:rsidR="00F34B22"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nual</w:t>
            </w:r>
          </w:p>
        </w:tc>
      </w:tr>
      <w:tr w:rsidR="00F34B22" w:rsidRPr="00F34B22" w:rsidTr="00BB7AD5">
        <w:trPr>
          <w:trHeight w:val="300"/>
        </w:trPr>
        <w:tc>
          <w:tcPr>
            <w:cnfStyle w:val="001000000000"/>
            <w:tcW w:w="0" w:type="auto"/>
            <w:hideMark/>
          </w:tcPr>
          <w:p w:rsidR="00F34B22" w:rsidRPr="00F34B22" w:rsidRDefault="00BB7AD5" w:rsidP="00BB7AD5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B7AD5">
              <w:rPr>
                <w:rFonts w:ascii="Calibri" w:eastAsia="Times New Roman" w:hAnsi="Calibri" w:cs="Times New Roman"/>
                <w:color w:val="000000"/>
                <w:lang w:val="gl-ES"/>
              </w:rPr>
              <w:t>T</w:t>
            </w:r>
            <w:r w:rsidR="00F34B22"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ramos de salario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479.849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466.042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477.215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15.594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15.501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15.730</w:t>
            </w:r>
          </w:p>
        </w:tc>
        <w:tc>
          <w:tcPr>
            <w:tcW w:w="0" w:type="auto"/>
            <w:noWrap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-0,5</w:t>
            </w:r>
          </w:p>
        </w:tc>
        <w:tc>
          <w:tcPr>
            <w:tcW w:w="0" w:type="auto"/>
            <w:noWrap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0,9</w:t>
            </w:r>
          </w:p>
        </w:tc>
      </w:tr>
      <w:tr w:rsidR="00BB7AD5" w:rsidRPr="00BB7AD5" w:rsidTr="00BB7AD5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F34B22" w:rsidRPr="00F34B22" w:rsidRDefault="00F34B22" w:rsidP="00F34B22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De 0 a 0,5 SMI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86.771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97.973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99.130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1.898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1.804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1.861</w:t>
            </w:r>
          </w:p>
        </w:tc>
        <w:tc>
          <w:tcPr>
            <w:tcW w:w="0" w:type="auto"/>
            <w:noWrap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14,2</w:t>
            </w:r>
          </w:p>
        </w:tc>
        <w:tc>
          <w:tcPr>
            <w:tcW w:w="0" w:type="auto"/>
            <w:noWrap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-1,9</w:t>
            </w:r>
          </w:p>
        </w:tc>
      </w:tr>
      <w:tr w:rsidR="00F34B22" w:rsidRPr="00F34B22" w:rsidTr="00BB7AD5">
        <w:trPr>
          <w:trHeight w:val="300"/>
        </w:trPr>
        <w:tc>
          <w:tcPr>
            <w:cnfStyle w:val="001000000000"/>
            <w:tcW w:w="0" w:type="auto"/>
            <w:hideMark/>
          </w:tcPr>
          <w:p w:rsidR="00F34B22" w:rsidRPr="00F34B22" w:rsidRDefault="00F34B22" w:rsidP="00F34B22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De 0,5 a 1 SMI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73.964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71.380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73.553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6.607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6.893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6.953</w:t>
            </w:r>
          </w:p>
        </w:tc>
        <w:tc>
          <w:tcPr>
            <w:tcW w:w="0" w:type="auto"/>
            <w:noWrap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-0,6</w:t>
            </w:r>
          </w:p>
        </w:tc>
        <w:tc>
          <w:tcPr>
            <w:tcW w:w="0" w:type="auto"/>
            <w:noWrap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5,2</w:t>
            </w:r>
          </w:p>
        </w:tc>
      </w:tr>
      <w:tr w:rsidR="00BB7AD5" w:rsidRPr="00BB7AD5" w:rsidTr="00BB7AD5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F34B22" w:rsidRPr="00F34B22" w:rsidRDefault="00F34B22" w:rsidP="00F34B22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De 1 a 1,5 SMI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89.738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78.740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82.529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11.036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11.452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11.568</w:t>
            </w:r>
          </w:p>
        </w:tc>
        <w:tc>
          <w:tcPr>
            <w:tcW w:w="0" w:type="auto"/>
            <w:noWrap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-8,0</w:t>
            </w:r>
          </w:p>
        </w:tc>
        <w:tc>
          <w:tcPr>
            <w:tcW w:w="0" w:type="auto"/>
            <w:noWrap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4,8</w:t>
            </w:r>
          </w:p>
        </w:tc>
      </w:tr>
      <w:tr w:rsidR="00F34B22" w:rsidRPr="00F34B22" w:rsidTr="00BB7AD5">
        <w:trPr>
          <w:trHeight w:val="300"/>
        </w:trPr>
        <w:tc>
          <w:tcPr>
            <w:cnfStyle w:val="001000000000"/>
            <w:tcW w:w="0" w:type="auto"/>
            <w:hideMark/>
          </w:tcPr>
          <w:p w:rsidR="00F34B22" w:rsidRPr="00F34B22" w:rsidRDefault="00F34B22" w:rsidP="00F34B22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De 1,5 a 2 SMI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74.064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70.751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72.601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15.042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15.696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15.848</w:t>
            </w:r>
          </w:p>
        </w:tc>
        <w:tc>
          <w:tcPr>
            <w:tcW w:w="0" w:type="auto"/>
            <w:noWrap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-2,0</w:t>
            </w:r>
          </w:p>
        </w:tc>
        <w:tc>
          <w:tcPr>
            <w:tcW w:w="0" w:type="auto"/>
            <w:noWrap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5,4</w:t>
            </w:r>
          </w:p>
        </w:tc>
      </w:tr>
      <w:tr w:rsidR="00BB7AD5" w:rsidRPr="00BB7AD5" w:rsidTr="00BB7AD5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F34B22" w:rsidRPr="00F34B22" w:rsidRDefault="00F34B22" w:rsidP="00F34B22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De 2 a 2,5 SMI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45.239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44.746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45.048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19.539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20.304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20.514</w:t>
            </w:r>
          </w:p>
        </w:tc>
        <w:tc>
          <w:tcPr>
            <w:tcW w:w="0" w:type="auto"/>
            <w:noWrap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-0,4</w:t>
            </w:r>
          </w:p>
        </w:tc>
        <w:tc>
          <w:tcPr>
            <w:tcW w:w="0" w:type="auto"/>
            <w:noWrap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5,0</w:t>
            </w:r>
          </w:p>
        </w:tc>
      </w:tr>
      <w:tr w:rsidR="00F34B22" w:rsidRPr="00F34B22" w:rsidTr="00BB7AD5">
        <w:trPr>
          <w:trHeight w:val="300"/>
        </w:trPr>
        <w:tc>
          <w:tcPr>
            <w:cnfStyle w:val="001000000000"/>
            <w:tcW w:w="0" w:type="auto"/>
            <w:hideMark/>
          </w:tcPr>
          <w:p w:rsidR="00F34B22" w:rsidRPr="00F34B22" w:rsidRDefault="00F34B22" w:rsidP="00F34B22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De 2,5 a 3 SMI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30.265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28.033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28.439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23.813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24.812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25.087</w:t>
            </w:r>
          </w:p>
        </w:tc>
        <w:tc>
          <w:tcPr>
            <w:tcW w:w="0" w:type="auto"/>
            <w:noWrap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-6,0</w:t>
            </w:r>
          </w:p>
        </w:tc>
        <w:tc>
          <w:tcPr>
            <w:tcW w:w="0" w:type="auto"/>
            <w:noWrap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5,4</w:t>
            </w:r>
          </w:p>
        </w:tc>
      </w:tr>
      <w:tr w:rsidR="00BB7AD5" w:rsidRPr="00BB7AD5" w:rsidTr="00BB7AD5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F34B22" w:rsidRPr="00F34B22" w:rsidRDefault="00F34B22" w:rsidP="00F34B22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De 3 a 3,5 SMI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20.517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22.920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23.105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28.355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29.473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29.778</w:t>
            </w:r>
          </w:p>
        </w:tc>
        <w:tc>
          <w:tcPr>
            <w:tcW w:w="0" w:type="auto"/>
            <w:noWrap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12,6</w:t>
            </w:r>
          </w:p>
        </w:tc>
        <w:tc>
          <w:tcPr>
            <w:tcW w:w="0" w:type="auto"/>
            <w:noWrap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5,0</w:t>
            </w:r>
          </w:p>
        </w:tc>
      </w:tr>
      <w:tr w:rsidR="00F34B22" w:rsidRPr="00F34B22" w:rsidTr="00BB7AD5">
        <w:trPr>
          <w:trHeight w:val="300"/>
        </w:trPr>
        <w:tc>
          <w:tcPr>
            <w:cnfStyle w:val="001000000000"/>
            <w:tcW w:w="0" w:type="auto"/>
            <w:hideMark/>
          </w:tcPr>
          <w:p w:rsidR="00F34B22" w:rsidRPr="00F34B22" w:rsidRDefault="00F34B22" w:rsidP="00F34B22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De 3,5 a 4 SMI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16.301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16.650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16.683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32.651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33.977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34.237</w:t>
            </w:r>
          </w:p>
        </w:tc>
        <w:tc>
          <w:tcPr>
            <w:tcW w:w="0" w:type="auto"/>
            <w:noWrap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2,3</w:t>
            </w:r>
          </w:p>
        </w:tc>
        <w:tc>
          <w:tcPr>
            <w:tcW w:w="0" w:type="auto"/>
            <w:noWrap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4,9</w:t>
            </w:r>
          </w:p>
        </w:tc>
      </w:tr>
      <w:tr w:rsidR="00BB7AD5" w:rsidRPr="00BB7AD5" w:rsidTr="00BB7AD5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F34B22" w:rsidRPr="00F34B22" w:rsidRDefault="00F34B22" w:rsidP="00F34B22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De 4 a 4,5 SMI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14.575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13.498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13.747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37.120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38.465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38.827</w:t>
            </w:r>
          </w:p>
        </w:tc>
        <w:tc>
          <w:tcPr>
            <w:tcW w:w="0" w:type="auto"/>
            <w:noWrap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-5,7</w:t>
            </w:r>
          </w:p>
        </w:tc>
        <w:tc>
          <w:tcPr>
            <w:tcW w:w="0" w:type="auto"/>
            <w:noWrap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4,6</w:t>
            </w:r>
          </w:p>
        </w:tc>
      </w:tr>
      <w:tr w:rsidR="00F34B22" w:rsidRPr="00F34B22" w:rsidTr="00BB7AD5">
        <w:trPr>
          <w:trHeight w:val="300"/>
        </w:trPr>
        <w:tc>
          <w:tcPr>
            <w:cnfStyle w:val="001000000000"/>
            <w:tcW w:w="0" w:type="auto"/>
            <w:hideMark/>
          </w:tcPr>
          <w:p w:rsidR="00F34B22" w:rsidRPr="00F34B22" w:rsidRDefault="00F34B22" w:rsidP="00F34B22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De 4,5 a 5 SMI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11.932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7.572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7.961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41.281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42.687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43.149</w:t>
            </w:r>
          </w:p>
        </w:tc>
        <w:tc>
          <w:tcPr>
            <w:tcW w:w="0" w:type="auto"/>
            <w:noWrap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-33,3</w:t>
            </w:r>
          </w:p>
        </w:tc>
        <w:tc>
          <w:tcPr>
            <w:tcW w:w="0" w:type="auto"/>
            <w:noWrap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4,5</w:t>
            </w:r>
          </w:p>
        </w:tc>
      </w:tr>
      <w:tr w:rsidR="00BB7AD5" w:rsidRPr="00BB7AD5" w:rsidTr="00BB7AD5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F34B22" w:rsidRPr="00F34B22" w:rsidRDefault="00F34B22" w:rsidP="00F34B22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De 5 a 7,5 SMI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12.547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10.854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11.176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50.941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53.832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54.582</w:t>
            </w:r>
          </w:p>
        </w:tc>
        <w:tc>
          <w:tcPr>
            <w:tcW w:w="0" w:type="auto"/>
            <w:noWrap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-10,9</w:t>
            </w:r>
          </w:p>
        </w:tc>
        <w:tc>
          <w:tcPr>
            <w:tcW w:w="0" w:type="auto"/>
            <w:noWrap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7,1</w:t>
            </w:r>
          </w:p>
        </w:tc>
      </w:tr>
      <w:tr w:rsidR="00F34B22" w:rsidRPr="00F34B22" w:rsidTr="00BB7AD5">
        <w:trPr>
          <w:trHeight w:val="300"/>
        </w:trPr>
        <w:tc>
          <w:tcPr>
            <w:cnfStyle w:val="001000000000"/>
            <w:tcW w:w="0" w:type="auto"/>
            <w:hideMark/>
          </w:tcPr>
          <w:p w:rsidR="00F34B22" w:rsidRPr="00F34B22" w:rsidRDefault="00F34B22" w:rsidP="00F34B22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lastRenderedPageBreak/>
              <w:t>De 7,5 a 10 SMI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2.980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2.233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2.474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74.191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76.343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77.273</w:t>
            </w:r>
          </w:p>
        </w:tc>
        <w:tc>
          <w:tcPr>
            <w:tcW w:w="0" w:type="auto"/>
            <w:noWrap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-17,0</w:t>
            </w:r>
          </w:p>
        </w:tc>
        <w:tc>
          <w:tcPr>
            <w:tcW w:w="0" w:type="auto"/>
            <w:noWrap/>
            <w:hideMark/>
          </w:tcPr>
          <w:p w:rsidR="00F34B22" w:rsidRPr="00F34B22" w:rsidRDefault="00F34B22" w:rsidP="00F34B22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4,2</w:t>
            </w:r>
          </w:p>
        </w:tc>
      </w:tr>
      <w:tr w:rsidR="00BB7AD5" w:rsidRPr="00BB7AD5" w:rsidTr="00BB7AD5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F34B22" w:rsidRPr="00F34B22" w:rsidRDefault="00F34B22" w:rsidP="00F34B22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Máis de 10 SMI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955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692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769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117.678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145.728</w:t>
            </w:r>
          </w:p>
        </w:tc>
        <w:tc>
          <w:tcPr>
            <w:tcW w:w="0" w:type="auto"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169.416</w:t>
            </w:r>
          </w:p>
        </w:tc>
        <w:tc>
          <w:tcPr>
            <w:tcW w:w="0" w:type="auto"/>
            <w:noWrap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-19,5</w:t>
            </w:r>
          </w:p>
        </w:tc>
        <w:tc>
          <w:tcPr>
            <w:tcW w:w="0" w:type="auto"/>
            <w:noWrap/>
            <w:hideMark/>
          </w:tcPr>
          <w:p w:rsidR="00F34B22" w:rsidRPr="00F34B22" w:rsidRDefault="00F34B22" w:rsidP="00F34B22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34B22">
              <w:rPr>
                <w:rFonts w:ascii="Calibri" w:eastAsia="Times New Roman" w:hAnsi="Calibri" w:cs="Times New Roman"/>
                <w:color w:val="000000"/>
                <w:lang w:val="gl-ES"/>
              </w:rPr>
              <w:t>44,0</w:t>
            </w:r>
          </w:p>
        </w:tc>
      </w:tr>
    </w:tbl>
    <w:p w:rsidR="00BC2C99" w:rsidRPr="008F1AEA" w:rsidRDefault="00BB7AD5" w:rsidP="00B56C2B">
      <w:pPr>
        <w:jc w:val="both"/>
        <w:rPr>
          <w:rFonts w:ascii="Arial" w:hAnsi="Arial" w:cs="Arial"/>
          <w:i/>
          <w:sz w:val="24"/>
          <w:szCs w:val="24"/>
          <w:lang w:val="gl-ES"/>
        </w:rPr>
      </w:pPr>
      <w:r w:rsidRPr="008F1AEA">
        <w:rPr>
          <w:rFonts w:ascii="Arial" w:hAnsi="Arial" w:cs="Arial"/>
          <w:i/>
          <w:sz w:val="24"/>
          <w:szCs w:val="24"/>
          <w:lang w:val="gl-ES"/>
        </w:rPr>
        <w:t>Fonte: Mercado de traba</w:t>
      </w:r>
      <w:r w:rsidR="00C102E6" w:rsidRPr="008F1AEA">
        <w:rPr>
          <w:rFonts w:ascii="Arial" w:hAnsi="Arial" w:cs="Arial"/>
          <w:i/>
          <w:sz w:val="24"/>
          <w:szCs w:val="24"/>
          <w:lang w:val="gl-ES"/>
        </w:rPr>
        <w:t>ll</w:t>
      </w:r>
      <w:r w:rsidRPr="008F1AEA">
        <w:rPr>
          <w:rFonts w:ascii="Arial" w:hAnsi="Arial" w:cs="Arial"/>
          <w:i/>
          <w:sz w:val="24"/>
          <w:szCs w:val="24"/>
          <w:lang w:val="gl-ES"/>
        </w:rPr>
        <w:t xml:space="preserve">o </w:t>
      </w:r>
      <w:r w:rsidR="00C102E6" w:rsidRPr="008F1AEA">
        <w:rPr>
          <w:rFonts w:ascii="Arial" w:hAnsi="Arial" w:cs="Arial"/>
          <w:i/>
          <w:sz w:val="24"/>
          <w:szCs w:val="24"/>
          <w:lang w:val="gl-ES"/>
        </w:rPr>
        <w:t>e pensións</w:t>
      </w:r>
      <w:r w:rsidRPr="008F1AEA">
        <w:rPr>
          <w:rFonts w:ascii="Arial" w:hAnsi="Arial" w:cs="Arial"/>
          <w:i/>
          <w:sz w:val="24"/>
          <w:szCs w:val="24"/>
          <w:lang w:val="gl-ES"/>
        </w:rPr>
        <w:t xml:space="preserve"> </w:t>
      </w:r>
      <w:r w:rsidR="00C102E6" w:rsidRPr="008F1AEA">
        <w:rPr>
          <w:rFonts w:ascii="Arial" w:hAnsi="Arial" w:cs="Arial"/>
          <w:i/>
          <w:sz w:val="24"/>
          <w:szCs w:val="24"/>
          <w:lang w:val="gl-ES"/>
        </w:rPr>
        <w:t>na</w:t>
      </w:r>
      <w:r w:rsidRPr="008F1AEA">
        <w:rPr>
          <w:rFonts w:ascii="Arial" w:hAnsi="Arial" w:cs="Arial"/>
          <w:i/>
          <w:sz w:val="24"/>
          <w:szCs w:val="24"/>
          <w:lang w:val="gl-ES"/>
        </w:rPr>
        <w:t>s f</w:t>
      </w:r>
      <w:r w:rsidR="00C102E6" w:rsidRPr="008F1AEA">
        <w:rPr>
          <w:rFonts w:ascii="Arial" w:hAnsi="Arial" w:cs="Arial"/>
          <w:i/>
          <w:sz w:val="24"/>
          <w:szCs w:val="24"/>
          <w:lang w:val="gl-ES"/>
        </w:rPr>
        <w:t>o</w:t>
      </w:r>
      <w:r w:rsidRPr="008F1AEA">
        <w:rPr>
          <w:rFonts w:ascii="Arial" w:hAnsi="Arial" w:cs="Arial"/>
          <w:i/>
          <w:sz w:val="24"/>
          <w:szCs w:val="24"/>
          <w:lang w:val="gl-ES"/>
        </w:rPr>
        <w:t>ntes tributarias. A</w:t>
      </w:r>
      <w:r w:rsidR="00C102E6" w:rsidRPr="008F1AEA">
        <w:rPr>
          <w:rFonts w:ascii="Arial" w:hAnsi="Arial" w:cs="Arial"/>
          <w:i/>
          <w:sz w:val="24"/>
          <w:szCs w:val="24"/>
          <w:lang w:val="gl-ES"/>
        </w:rPr>
        <w:t>x</w:t>
      </w:r>
      <w:r w:rsidRPr="008F1AEA">
        <w:rPr>
          <w:rFonts w:ascii="Arial" w:hAnsi="Arial" w:cs="Arial"/>
          <w:i/>
          <w:sz w:val="24"/>
          <w:szCs w:val="24"/>
          <w:lang w:val="gl-ES"/>
        </w:rPr>
        <w:t xml:space="preserve">encia </w:t>
      </w:r>
      <w:r w:rsidR="008F1AEA">
        <w:rPr>
          <w:rFonts w:ascii="Arial" w:hAnsi="Arial" w:cs="Arial"/>
          <w:i/>
          <w:sz w:val="24"/>
          <w:szCs w:val="24"/>
          <w:lang w:val="gl-ES"/>
        </w:rPr>
        <w:t>T</w:t>
      </w:r>
      <w:r w:rsidRPr="008F1AEA">
        <w:rPr>
          <w:rFonts w:ascii="Arial" w:hAnsi="Arial" w:cs="Arial"/>
          <w:i/>
          <w:sz w:val="24"/>
          <w:szCs w:val="24"/>
          <w:lang w:val="gl-ES"/>
        </w:rPr>
        <w:t>ributaria.</w:t>
      </w:r>
    </w:p>
    <w:p w:rsidR="00B56C2B" w:rsidRDefault="00DE510E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No</w:t>
      </w:r>
      <w:r w:rsidR="008B4B8E">
        <w:rPr>
          <w:rFonts w:ascii="Arial" w:hAnsi="Arial" w:cs="Arial"/>
          <w:sz w:val="24"/>
          <w:szCs w:val="24"/>
          <w:lang w:val="gl-ES"/>
        </w:rPr>
        <w:t xml:space="preserve"> último ano, os ingreso</w:t>
      </w:r>
      <w:r w:rsidR="0023074D">
        <w:rPr>
          <w:rFonts w:ascii="Arial" w:hAnsi="Arial" w:cs="Arial"/>
          <w:sz w:val="24"/>
          <w:szCs w:val="24"/>
          <w:lang w:val="gl-ES"/>
        </w:rPr>
        <w:t>s</w:t>
      </w:r>
      <w:r w:rsidR="008B4B8E">
        <w:rPr>
          <w:rFonts w:ascii="Arial" w:hAnsi="Arial" w:cs="Arial"/>
          <w:sz w:val="24"/>
          <w:szCs w:val="24"/>
          <w:lang w:val="gl-ES"/>
        </w:rPr>
        <w:t xml:space="preserve"> salariais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 w:rsidR="008B4B8E">
        <w:rPr>
          <w:rFonts w:ascii="Arial" w:hAnsi="Arial" w:cs="Arial"/>
          <w:sz w:val="24"/>
          <w:szCs w:val="24"/>
          <w:lang w:val="gl-ES"/>
        </w:rPr>
        <w:t>medios das mulleres en G</w:t>
      </w:r>
      <w:r w:rsidR="00B533CD">
        <w:rPr>
          <w:rFonts w:ascii="Arial" w:hAnsi="Arial" w:cs="Arial"/>
          <w:sz w:val="24"/>
          <w:szCs w:val="24"/>
          <w:lang w:val="gl-ES"/>
        </w:rPr>
        <w:t>aliza</w:t>
      </w:r>
      <w:r w:rsidR="008B4B8E">
        <w:rPr>
          <w:rFonts w:ascii="Arial" w:hAnsi="Arial" w:cs="Arial"/>
          <w:sz w:val="24"/>
          <w:szCs w:val="24"/>
          <w:lang w:val="gl-ES"/>
        </w:rPr>
        <w:t xml:space="preserve"> medraron un 1</w:t>
      </w:r>
      <w:r w:rsidR="00EA2EB5">
        <w:rPr>
          <w:rFonts w:ascii="Arial" w:hAnsi="Arial" w:cs="Arial"/>
          <w:sz w:val="24"/>
          <w:szCs w:val="24"/>
          <w:lang w:val="gl-ES"/>
        </w:rPr>
        <w:t>,</w:t>
      </w:r>
      <w:r w:rsidR="008B4B8E">
        <w:rPr>
          <w:rFonts w:ascii="Arial" w:hAnsi="Arial" w:cs="Arial"/>
          <w:sz w:val="24"/>
          <w:szCs w:val="24"/>
          <w:lang w:val="gl-ES"/>
        </w:rPr>
        <w:t>5%</w:t>
      </w:r>
      <w:r>
        <w:rPr>
          <w:rFonts w:ascii="Arial" w:hAnsi="Arial" w:cs="Arial"/>
          <w:sz w:val="24"/>
          <w:szCs w:val="24"/>
          <w:lang w:val="gl-ES"/>
        </w:rPr>
        <w:t>,</w:t>
      </w:r>
      <w:r w:rsidR="008B4B8E">
        <w:rPr>
          <w:rFonts w:ascii="Arial" w:hAnsi="Arial" w:cs="Arial"/>
          <w:sz w:val="24"/>
          <w:szCs w:val="24"/>
          <w:lang w:val="gl-ES"/>
        </w:rPr>
        <w:t xml:space="preserve"> con respecto a 2009</w:t>
      </w:r>
      <w:r w:rsidR="008F1AEA">
        <w:rPr>
          <w:rFonts w:ascii="Arial" w:hAnsi="Arial" w:cs="Arial"/>
          <w:sz w:val="24"/>
          <w:szCs w:val="24"/>
          <w:lang w:val="gl-ES"/>
        </w:rPr>
        <w:t xml:space="preserve"> (</w:t>
      </w:r>
      <w:r>
        <w:rPr>
          <w:rFonts w:ascii="Arial" w:hAnsi="Arial" w:cs="Arial"/>
          <w:sz w:val="24"/>
          <w:szCs w:val="24"/>
          <w:lang w:val="gl-ES"/>
        </w:rPr>
        <w:t>0,9%</w:t>
      </w:r>
      <w:r w:rsidR="008F1AEA">
        <w:rPr>
          <w:rFonts w:ascii="Arial" w:hAnsi="Arial" w:cs="Arial"/>
          <w:sz w:val="24"/>
          <w:szCs w:val="24"/>
          <w:lang w:val="gl-ES"/>
        </w:rPr>
        <w:t>). Ist</w:t>
      </w:r>
      <w:r w:rsidR="008B4B8E">
        <w:rPr>
          <w:rFonts w:ascii="Arial" w:hAnsi="Arial" w:cs="Arial"/>
          <w:sz w:val="24"/>
          <w:szCs w:val="24"/>
          <w:lang w:val="gl-ES"/>
        </w:rPr>
        <w:t>o</w:t>
      </w:r>
      <w:r w:rsidR="008F1AEA">
        <w:rPr>
          <w:rFonts w:ascii="Arial" w:hAnsi="Arial" w:cs="Arial"/>
          <w:sz w:val="24"/>
          <w:szCs w:val="24"/>
          <w:lang w:val="gl-ES"/>
        </w:rPr>
        <w:t>,</w:t>
      </w:r>
      <w:r w:rsidR="008B4B8E">
        <w:rPr>
          <w:rFonts w:ascii="Arial" w:hAnsi="Arial" w:cs="Arial"/>
          <w:sz w:val="24"/>
          <w:szCs w:val="24"/>
          <w:lang w:val="gl-ES"/>
        </w:rPr>
        <w:t xml:space="preserve"> en te</w:t>
      </w:r>
      <w:r w:rsidR="00EA2EB5">
        <w:rPr>
          <w:rFonts w:ascii="Arial" w:hAnsi="Arial" w:cs="Arial"/>
          <w:sz w:val="24"/>
          <w:szCs w:val="24"/>
          <w:lang w:val="gl-ES"/>
        </w:rPr>
        <w:t>r</w:t>
      </w:r>
      <w:r w:rsidR="008B4B8E">
        <w:rPr>
          <w:rFonts w:ascii="Arial" w:hAnsi="Arial" w:cs="Arial"/>
          <w:sz w:val="24"/>
          <w:szCs w:val="24"/>
          <w:lang w:val="gl-ES"/>
        </w:rPr>
        <w:t>mos nominais</w:t>
      </w:r>
      <w:r w:rsidR="008F1AEA">
        <w:rPr>
          <w:rFonts w:ascii="Arial" w:hAnsi="Arial" w:cs="Arial"/>
          <w:sz w:val="24"/>
          <w:szCs w:val="24"/>
          <w:lang w:val="gl-ES"/>
        </w:rPr>
        <w:t>. S</w:t>
      </w:r>
      <w:r w:rsidR="008B4B8E">
        <w:rPr>
          <w:rFonts w:ascii="Arial" w:hAnsi="Arial" w:cs="Arial"/>
          <w:sz w:val="24"/>
          <w:szCs w:val="24"/>
          <w:lang w:val="gl-ES"/>
        </w:rPr>
        <w:t xml:space="preserve">e temos en conta o aumento dos prezos neste período </w:t>
      </w:r>
      <w:r w:rsidR="008F1AEA">
        <w:rPr>
          <w:rFonts w:ascii="Arial" w:hAnsi="Arial" w:cs="Arial"/>
          <w:sz w:val="24"/>
          <w:szCs w:val="24"/>
          <w:lang w:val="gl-ES"/>
        </w:rPr>
        <w:t>(</w:t>
      </w:r>
      <w:r>
        <w:rPr>
          <w:rFonts w:ascii="Arial" w:hAnsi="Arial" w:cs="Arial"/>
          <w:sz w:val="24"/>
          <w:szCs w:val="24"/>
          <w:lang w:val="gl-ES"/>
        </w:rPr>
        <w:t>un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 w:rsidR="008B4B8E">
        <w:rPr>
          <w:rFonts w:ascii="Arial" w:hAnsi="Arial" w:cs="Arial"/>
          <w:sz w:val="24"/>
          <w:szCs w:val="24"/>
          <w:lang w:val="gl-ES"/>
        </w:rPr>
        <w:t>10,2%</w:t>
      </w:r>
      <w:r w:rsidR="008F1AEA">
        <w:rPr>
          <w:rFonts w:ascii="Arial" w:hAnsi="Arial" w:cs="Arial"/>
          <w:sz w:val="24"/>
          <w:szCs w:val="24"/>
          <w:lang w:val="gl-ES"/>
        </w:rPr>
        <w:t>)</w:t>
      </w:r>
      <w:r w:rsidR="0023074D">
        <w:rPr>
          <w:rFonts w:ascii="Arial" w:hAnsi="Arial" w:cs="Arial"/>
          <w:sz w:val="24"/>
          <w:szCs w:val="24"/>
          <w:lang w:val="gl-ES"/>
        </w:rPr>
        <w:t>,</w:t>
      </w:r>
      <w:r w:rsidR="008B4B8E">
        <w:rPr>
          <w:rFonts w:ascii="Arial" w:hAnsi="Arial" w:cs="Arial"/>
          <w:sz w:val="24"/>
          <w:szCs w:val="24"/>
          <w:lang w:val="gl-ES"/>
        </w:rPr>
        <w:t xml:space="preserve"> estamos falando dunha perda de poder adquisitivo do 9,3%</w:t>
      </w:r>
      <w:r>
        <w:rPr>
          <w:rFonts w:ascii="Arial" w:hAnsi="Arial" w:cs="Arial"/>
          <w:sz w:val="24"/>
          <w:szCs w:val="24"/>
          <w:lang w:val="gl-ES"/>
        </w:rPr>
        <w:t xml:space="preserve"> desde o ano 2009</w:t>
      </w:r>
      <w:r w:rsidR="008B4B8E">
        <w:rPr>
          <w:rFonts w:ascii="Arial" w:hAnsi="Arial" w:cs="Arial"/>
          <w:sz w:val="24"/>
          <w:szCs w:val="24"/>
          <w:lang w:val="gl-ES"/>
        </w:rPr>
        <w:t>.</w:t>
      </w:r>
    </w:p>
    <w:p w:rsidR="00EA2EB5" w:rsidRDefault="00EA2EB5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O descenso de ingresos, con respecto a 2009, </w:t>
      </w:r>
      <w:r w:rsidR="001A7465">
        <w:rPr>
          <w:rFonts w:ascii="Arial" w:hAnsi="Arial" w:cs="Arial"/>
          <w:sz w:val="24"/>
          <w:szCs w:val="24"/>
          <w:lang w:val="gl-ES"/>
        </w:rPr>
        <w:t>soamente</w:t>
      </w:r>
      <w:r>
        <w:rPr>
          <w:rFonts w:ascii="Arial" w:hAnsi="Arial" w:cs="Arial"/>
          <w:sz w:val="24"/>
          <w:szCs w:val="24"/>
          <w:lang w:val="gl-ES"/>
        </w:rPr>
        <w:t xml:space="preserve"> afectou </w:t>
      </w:r>
      <w:r w:rsidR="001A7465">
        <w:rPr>
          <w:rFonts w:ascii="Arial" w:hAnsi="Arial" w:cs="Arial"/>
          <w:sz w:val="24"/>
          <w:szCs w:val="24"/>
          <w:lang w:val="gl-ES"/>
        </w:rPr>
        <w:t>a</w:t>
      </w:r>
      <w:r>
        <w:rPr>
          <w:rFonts w:ascii="Arial" w:hAnsi="Arial" w:cs="Arial"/>
          <w:sz w:val="24"/>
          <w:szCs w:val="24"/>
          <w:lang w:val="gl-ES"/>
        </w:rPr>
        <w:t>o grupo de mulleres que percibiron salarios inferiores á metade do Salario Mínimo Inter</w:t>
      </w:r>
      <w:r w:rsidR="002F5C45">
        <w:rPr>
          <w:rFonts w:ascii="Arial" w:hAnsi="Arial" w:cs="Arial"/>
          <w:sz w:val="24"/>
          <w:szCs w:val="24"/>
          <w:lang w:val="gl-ES"/>
        </w:rPr>
        <w:t>profesional (SMI), que descende</w:t>
      </w:r>
      <w:r>
        <w:rPr>
          <w:rFonts w:ascii="Arial" w:hAnsi="Arial" w:cs="Arial"/>
          <w:sz w:val="24"/>
          <w:szCs w:val="24"/>
          <w:lang w:val="gl-ES"/>
        </w:rPr>
        <w:t>, en termos nominais</w:t>
      </w:r>
      <w:r w:rsidR="001A7465">
        <w:rPr>
          <w:rFonts w:ascii="Arial" w:hAnsi="Arial" w:cs="Arial"/>
          <w:sz w:val="24"/>
          <w:szCs w:val="24"/>
          <w:lang w:val="gl-ES"/>
        </w:rPr>
        <w:t>. un 1,9%. P</w:t>
      </w:r>
      <w:r>
        <w:rPr>
          <w:rFonts w:ascii="Arial" w:hAnsi="Arial" w:cs="Arial"/>
          <w:sz w:val="24"/>
          <w:szCs w:val="24"/>
          <w:lang w:val="gl-ES"/>
        </w:rPr>
        <w:t xml:space="preserve">aralelo a isto, medrou o número de mulleres asalariadas que pertencen a este intervalo de ingresos, concretamente </w:t>
      </w:r>
      <w:r w:rsidR="00724403">
        <w:rPr>
          <w:rFonts w:ascii="Arial" w:hAnsi="Arial" w:cs="Arial"/>
          <w:sz w:val="24"/>
          <w:szCs w:val="24"/>
          <w:lang w:val="gl-ES"/>
        </w:rPr>
        <w:t>un 14</w:t>
      </w:r>
      <w:r w:rsidR="001A7465">
        <w:rPr>
          <w:rFonts w:ascii="Arial" w:hAnsi="Arial" w:cs="Arial"/>
          <w:sz w:val="24"/>
          <w:szCs w:val="24"/>
          <w:lang w:val="gl-ES"/>
        </w:rPr>
        <w:t>,2%. N</w:t>
      </w:r>
      <w:r>
        <w:rPr>
          <w:rFonts w:ascii="Arial" w:hAnsi="Arial" w:cs="Arial"/>
          <w:sz w:val="24"/>
          <w:szCs w:val="24"/>
          <w:lang w:val="gl-ES"/>
        </w:rPr>
        <w:t>o ano 2009 eran 86.771</w:t>
      </w:r>
      <w:r w:rsidR="002F5C45">
        <w:rPr>
          <w:rFonts w:ascii="Arial" w:hAnsi="Arial" w:cs="Arial"/>
          <w:sz w:val="24"/>
          <w:szCs w:val="24"/>
          <w:lang w:val="gl-ES"/>
        </w:rPr>
        <w:t xml:space="preserve"> as mulle</w:t>
      </w:r>
      <w:r w:rsidR="001A7465">
        <w:rPr>
          <w:rFonts w:ascii="Arial" w:hAnsi="Arial" w:cs="Arial"/>
          <w:sz w:val="24"/>
          <w:szCs w:val="24"/>
          <w:lang w:val="gl-ES"/>
        </w:rPr>
        <w:t>res que pertencían a este grupo. En 2016 foron 99.130, o 20,7% do total de asalariadas;</w:t>
      </w:r>
      <w:r w:rsidR="002F5C45">
        <w:rPr>
          <w:rFonts w:ascii="Arial" w:hAnsi="Arial" w:cs="Arial"/>
          <w:sz w:val="24"/>
          <w:szCs w:val="24"/>
          <w:lang w:val="gl-ES"/>
        </w:rPr>
        <w:t xml:space="preserve"> é o grupo máis numeroso. No ano 2009 pertencían a e</w:t>
      </w:r>
      <w:r w:rsidR="001A7465">
        <w:rPr>
          <w:rFonts w:ascii="Arial" w:hAnsi="Arial" w:cs="Arial"/>
          <w:sz w:val="24"/>
          <w:szCs w:val="24"/>
          <w:lang w:val="gl-ES"/>
        </w:rPr>
        <w:t>ste grupo o 18% das asalariadas. Trátase d</w:t>
      </w:r>
      <w:r w:rsidR="002F5C45">
        <w:rPr>
          <w:rFonts w:ascii="Arial" w:hAnsi="Arial" w:cs="Arial"/>
          <w:sz w:val="24"/>
          <w:szCs w:val="24"/>
          <w:lang w:val="gl-ES"/>
        </w:rPr>
        <w:t>o único colectivo que aumentou de peso neste período.</w:t>
      </w:r>
    </w:p>
    <w:p w:rsidR="00637539" w:rsidRPr="00637539" w:rsidRDefault="00637539" w:rsidP="00637539">
      <w:pPr>
        <w:jc w:val="center"/>
        <w:rPr>
          <w:rFonts w:ascii="Arial" w:hAnsi="Arial" w:cs="Arial"/>
          <w:b/>
          <w:sz w:val="24"/>
          <w:szCs w:val="24"/>
          <w:lang w:val="gl-ES"/>
        </w:rPr>
      </w:pPr>
      <w:r w:rsidRPr="00637539">
        <w:rPr>
          <w:rFonts w:ascii="Arial" w:hAnsi="Arial" w:cs="Arial"/>
          <w:b/>
          <w:sz w:val="24"/>
          <w:szCs w:val="24"/>
          <w:lang w:val="gl-ES"/>
        </w:rPr>
        <w:t xml:space="preserve">O 20,7% das mulleres asalariadas percibiron uns ingresos inferiores </w:t>
      </w:r>
      <w:r w:rsidR="001A7465">
        <w:rPr>
          <w:rFonts w:ascii="Arial" w:hAnsi="Arial" w:cs="Arial"/>
          <w:b/>
          <w:sz w:val="24"/>
          <w:szCs w:val="24"/>
          <w:lang w:val="gl-ES"/>
        </w:rPr>
        <w:t>á</w:t>
      </w:r>
      <w:r w:rsidRPr="00637539">
        <w:rPr>
          <w:rFonts w:ascii="Arial" w:hAnsi="Arial" w:cs="Arial"/>
          <w:b/>
          <w:sz w:val="24"/>
          <w:szCs w:val="24"/>
          <w:lang w:val="gl-ES"/>
        </w:rPr>
        <w:t xml:space="preserve"> metade do SMI</w:t>
      </w:r>
      <w:r>
        <w:rPr>
          <w:rFonts w:ascii="Arial" w:hAnsi="Arial" w:cs="Arial"/>
          <w:b/>
          <w:sz w:val="24"/>
          <w:szCs w:val="24"/>
          <w:lang w:val="gl-ES"/>
        </w:rPr>
        <w:t xml:space="preserve">, menos de 1.804 euros </w:t>
      </w:r>
      <w:r w:rsidR="001A7465">
        <w:rPr>
          <w:rFonts w:ascii="Arial" w:hAnsi="Arial" w:cs="Arial"/>
          <w:b/>
          <w:sz w:val="24"/>
          <w:szCs w:val="24"/>
          <w:lang w:val="gl-ES"/>
        </w:rPr>
        <w:t>ao</w:t>
      </w:r>
      <w:r>
        <w:rPr>
          <w:rFonts w:ascii="Arial" w:hAnsi="Arial" w:cs="Arial"/>
          <w:b/>
          <w:sz w:val="24"/>
          <w:szCs w:val="24"/>
          <w:lang w:val="gl-ES"/>
        </w:rPr>
        <w:t xml:space="preserve"> ano.</w:t>
      </w:r>
    </w:p>
    <w:p w:rsidR="002F5C45" w:rsidRDefault="002F5C45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Onde máis descendeu o</w:t>
      </w:r>
      <w:r w:rsidR="00A617B4">
        <w:rPr>
          <w:rFonts w:ascii="Arial" w:hAnsi="Arial" w:cs="Arial"/>
          <w:sz w:val="24"/>
          <w:szCs w:val="24"/>
          <w:lang w:val="gl-ES"/>
        </w:rPr>
        <w:t xml:space="preserve"> número de mulleres asalariadas</w:t>
      </w:r>
      <w:r>
        <w:rPr>
          <w:rFonts w:ascii="Arial" w:hAnsi="Arial" w:cs="Arial"/>
          <w:sz w:val="24"/>
          <w:szCs w:val="24"/>
          <w:lang w:val="gl-ES"/>
        </w:rPr>
        <w:t xml:space="preserve"> foi n</w:t>
      </w:r>
      <w:r w:rsidR="001A7465">
        <w:rPr>
          <w:rFonts w:ascii="Arial" w:hAnsi="Arial" w:cs="Arial"/>
          <w:sz w:val="24"/>
          <w:szCs w:val="24"/>
          <w:lang w:val="gl-ES"/>
        </w:rPr>
        <w:t>o grupo d</w:t>
      </w:r>
      <w:r>
        <w:rPr>
          <w:rFonts w:ascii="Arial" w:hAnsi="Arial" w:cs="Arial"/>
          <w:sz w:val="24"/>
          <w:szCs w:val="24"/>
          <w:lang w:val="gl-ES"/>
        </w:rPr>
        <w:t xml:space="preserve">e ingresos superiores </w:t>
      </w:r>
      <w:r w:rsidR="00724403">
        <w:rPr>
          <w:rFonts w:ascii="Arial" w:hAnsi="Arial" w:cs="Arial"/>
          <w:sz w:val="24"/>
          <w:szCs w:val="24"/>
          <w:lang w:val="gl-ES"/>
        </w:rPr>
        <w:t>a 10</w:t>
      </w:r>
      <w:r>
        <w:rPr>
          <w:rFonts w:ascii="Arial" w:hAnsi="Arial" w:cs="Arial"/>
          <w:sz w:val="24"/>
          <w:szCs w:val="24"/>
          <w:lang w:val="gl-ES"/>
        </w:rPr>
        <w:t xml:space="preserve"> veces o SMI</w:t>
      </w:r>
      <w:r w:rsidR="001A7465">
        <w:rPr>
          <w:rFonts w:ascii="Arial" w:hAnsi="Arial" w:cs="Arial"/>
          <w:sz w:val="24"/>
          <w:szCs w:val="24"/>
          <w:lang w:val="gl-ES"/>
        </w:rPr>
        <w:t>. Aínda que</w:t>
      </w:r>
      <w:r w:rsidR="00A617B4">
        <w:rPr>
          <w:rFonts w:ascii="Arial" w:hAnsi="Arial" w:cs="Arial"/>
          <w:sz w:val="24"/>
          <w:szCs w:val="24"/>
          <w:lang w:val="gl-ES"/>
        </w:rPr>
        <w:t xml:space="preserve"> desde o inicio da crise hai un 19,48% menos, </w:t>
      </w:r>
      <w:r w:rsidR="001A7465">
        <w:rPr>
          <w:rFonts w:ascii="Arial" w:hAnsi="Arial" w:cs="Arial"/>
          <w:sz w:val="24"/>
          <w:szCs w:val="24"/>
          <w:lang w:val="gl-ES"/>
        </w:rPr>
        <w:t>os seus</w:t>
      </w:r>
      <w:r w:rsidR="00A617B4">
        <w:rPr>
          <w:rFonts w:ascii="Arial" w:hAnsi="Arial" w:cs="Arial"/>
          <w:sz w:val="24"/>
          <w:szCs w:val="24"/>
          <w:lang w:val="gl-ES"/>
        </w:rPr>
        <w:t xml:space="preserve"> ingresos </w:t>
      </w:r>
      <w:r w:rsidR="001A7465">
        <w:rPr>
          <w:rFonts w:ascii="Arial" w:hAnsi="Arial" w:cs="Arial"/>
          <w:sz w:val="24"/>
          <w:szCs w:val="24"/>
          <w:lang w:val="gl-ES"/>
        </w:rPr>
        <w:t xml:space="preserve">son </w:t>
      </w:r>
      <w:r w:rsidR="00A617B4">
        <w:rPr>
          <w:rFonts w:ascii="Arial" w:hAnsi="Arial" w:cs="Arial"/>
          <w:sz w:val="24"/>
          <w:szCs w:val="24"/>
          <w:lang w:val="gl-ES"/>
        </w:rPr>
        <w:t xml:space="preserve">moi superiores </w:t>
      </w:r>
      <w:r w:rsidR="001A7465">
        <w:rPr>
          <w:rFonts w:ascii="Arial" w:hAnsi="Arial" w:cs="Arial"/>
          <w:sz w:val="24"/>
          <w:szCs w:val="24"/>
          <w:lang w:val="gl-ES"/>
        </w:rPr>
        <w:t>a</w:t>
      </w:r>
      <w:r w:rsidR="00A617B4">
        <w:rPr>
          <w:rFonts w:ascii="Arial" w:hAnsi="Arial" w:cs="Arial"/>
          <w:sz w:val="24"/>
          <w:szCs w:val="24"/>
          <w:lang w:val="gl-ES"/>
        </w:rPr>
        <w:t xml:space="preserve">os do ano 2009, concretamente </w:t>
      </w:r>
      <w:r w:rsidR="001A7465">
        <w:rPr>
          <w:rFonts w:ascii="Arial" w:hAnsi="Arial" w:cs="Arial"/>
          <w:sz w:val="24"/>
          <w:szCs w:val="24"/>
          <w:lang w:val="gl-ES"/>
        </w:rPr>
        <w:t xml:space="preserve">medran nun </w:t>
      </w:r>
      <w:r w:rsidR="00A617B4">
        <w:rPr>
          <w:rFonts w:ascii="Arial" w:hAnsi="Arial" w:cs="Arial"/>
          <w:sz w:val="24"/>
          <w:szCs w:val="24"/>
          <w:lang w:val="gl-ES"/>
        </w:rPr>
        <w:t>44%.</w:t>
      </w:r>
    </w:p>
    <w:p w:rsidR="00A617B4" w:rsidRDefault="00A617B4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Como vemos, desde o ano 2009, onde máis medran os ingresos medios é no grupo de maiores ingresos e no único que descenden </w:t>
      </w:r>
      <w:r w:rsidR="001A7465">
        <w:rPr>
          <w:rFonts w:ascii="Arial" w:hAnsi="Arial" w:cs="Arial"/>
          <w:sz w:val="24"/>
          <w:szCs w:val="24"/>
          <w:lang w:val="gl-ES"/>
        </w:rPr>
        <w:t>é no de menores ingresos. P</w:t>
      </w:r>
      <w:r>
        <w:rPr>
          <w:rFonts w:ascii="Arial" w:hAnsi="Arial" w:cs="Arial"/>
          <w:sz w:val="24"/>
          <w:szCs w:val="24"/>
          <w:lang w:val="gl-ES"/>
        </w:rPr>
        <w:t>ola contra</w:t>
      </w:r>
      <w:r w:rsidR="001A7465">
        <w:rPr>
          <w:rFonts w:ascii="Arial" w:hAnsi="Arial" w:cs="Arial"/>
          <w:sz w:val="24"/>
          <w:szCs w:val="24"/>
          <w:lang w:val="gl-ES"/>
        </w:rPr>
        <w:t>,</w:t>
      </w:r>
      <w:r>
        <w:rPr>
          <w:rFonts w:ascii="Arial" w:hAnsi="Arial" w:cs="Arial"/>
          <w:sz w:val="24"/>
          <w:szCs w:val="24"/>
          <w:lang w:val="gl-ES"/>
        </w:rPr>
        <w:t xml:space="preserve"> o número de asalariadas onde máis medra é no grupo de menores ingresos e onde máis de</w:t>
      </w:r>
      <w:r w:rsidR="001A7465">
        <w:rPr>
          <w:rFonts w:ascii="Arial" w:hAnsi="Arial" w:cs="Arial"/>
          <w:sz w:val="24"/>
          <w:szCs w:val="24"/>
          <w:lang w:val="gl-ES"/>
        </w:rPr>
        <w:t>scende é no de maiores ingresos. A</w:t>
      </w:r>
      <w:r w:rsidR="009029AB">
        <w:rPr>
          <w:rFonts w:ascii="Arial" w:hAnsi="Arial" w:cs="Arial"/>
          <w:sz w:val="24"/>
          <w:szCs w:val="24"/>
          <w:lang w:val="gl-ES"/>
        </w:rPr>
        <w:t xml:space="preserve"> conclusión é clara</w:t>
      </w:r>
      <w:r w:rsidR="001A7465">
        <w:rPr>
          <w:rFonts w:ascii="Arial" w:hAnsi="Arial" w:cs="Arial"/>
          <w:sz w:val="24"/>
          <w:szCs w:val="24"/>
          <w:lang w:val="gl-ES"/>
        </w:rPr>
        <w:t>:</w:t>
      </w:r>
      <w:r w:rsidR="009029AB">
        <w:rPr>
          <w:rFonts w:ascii="Arial" w:hAnsi="Arial" w:cs="Arial"/>
          <w:sz w:val="24"/>
          <w:szCs w:val="24"/>
          <w:lang w:val="gl-ES"/>
        </w:rPr>
        <w:t xml:space="preserve"> forte incremento da polarización do mercado de traballo feminino en G</w:t>
      </w:r>
      <w:r w:rsidR="00B533CD">
        <w:rPr>
          <w:rFonts w:ascii="Arial" w:hAnsi="Arial" w:cs="Arial"/>
          <w:sz w:val="24"/>
          <w:szCs w:val="24"/>
          <w:lang w:val="gl-ES"/>
        </w:rPr>
        <w:t>aliza</w:t>
      </w:r>
      <w:r w:rsidR="009029AB">
        <w:rPr>
          <w:rFonts w:ascii="Arial" w:hAnsi="Arial" w:cs="Arial"/>
          <w:sz w:val="24"/>
          <w:szCs w:val="24"/>
          <w:lang w:val="gl-ES"/>
        </w:rPr>
        <w:t>. No ano 2009 os ingresos d</w:t>
      </w:r>
      <w:r w:rsidR="001A7465">
        <w:rPr>
          <w:rFonts w:ascii="Arial" w:hAnsi="Arial" w:cs="Arial"/>
          <w:sz w:val="24"/>
          <w:szCs w:val="24"/>
          <w:lang w:val="gl-ES"/>
        </w:rPr>
        <w:t>as</w:t>
      </w:r>
      <w:r w:rsidR="009029AB">
        <w:rPr>
          <w:rFonts w:ascii="Arial" w:hAnsi="Arial" w:cs="Arial"/>
          <w:sz w:val="24"/>
          <w:szCs w:val="24"/>
          <w:lang w:val="gl-ES"/>
        </w:rPr>
        <w:t xml:space="preserve"> mulleres do intervalo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 w:rsidR="009029AB">
        <w:rPr>
          <w:rFonts w:ascii="Arial" w:hAnsi="Arial" w:cs="Arial"/>
          <w:sz w:val="24"/>
          <w:szCs w:val="24"/>
          <w:lang w:val="gl-ES"/>
        </w:rPr>
        <w:t>superiores a 10 veces o SMI equivalía</w:t>
      </w:r>
      <w:r w:rsidR="001A7465">
        <w:rPr>
          <w:rFonts w:ascii="Arial" w:hAnsi="Arial" w:cs="Arial"/>
          <w:sz w:val="24"/>
          <w:szCs w:val="24"/>
          <w:lang w:val="gl-ES"/>
        </w:rPr>
        <w:t xml:space="preserve"> a 62 mulleres da metade do SMI. N</w:t>
      </w:r>
      <w:r w:rsidR="009029AB">
        <w:rPr>
          <w:rFonts w:ascii="Arial" w:hAnsi="Arial" w:cs="Arial"/>
          <w:sz w:val="24"/>
          <w:szCs w:val="24"/>
          <w:lang w:val="gl-ES"/>
        </w:rPr>
        <w:t>o a</w:t>
      </w:r>
      <w:r w:rsidR="001A7465">
        <w:rPr>
          <w:rFonts w:ascii="Arial" w:hAnsi="Arial" w:cs="Arial"/>
          <w:sz w:val="24"/>
          <w:szCs w:val="24"/>
          <w:lang w:val="gl-ES"/>
        </w:rPr>
        <w:t>no 2016 a equivalencia é 1 a 91,</w:t>
      </w:r>
      <w:r w:rsidR="009029AB">
        <w:rPr>
          <w:rFonts w:ascii="Arial" w:hAnsi="Arial" w:cs="Arial"/>
          <w:sz w:val="24"/>
          <w:szCs w:val="24"/>
          <w:lang w:val="gl-ES"/>
        </w:rPr>
        <w:t xml:space="preserve"> é dicir</w:t>
      </w:r>
      <w:r w:rsidR="001A7465">
        <w:rPr>
          <w:rFonts w:ascii="Arial" w:hAnsi="Arial" w:cs="Arial"/>
          <w:sz w:val="24"/>
          <w:szCs w:val="24"/>
          <w:lang w:val="gl-ES"/>
        </w:rPr>
        <w:t xml:space="preserve">, ingresa o mesmo unha muller que 91. </w:t>
      </w:r>
      <w:r w:rsidR="009029AB">
        <w:rPr>
          <w:rFonts w:ascii="Arial" w:hAnsi="Arial" w:cs="Arial"/>
          <w:sz w:val="24"/>
          <w:szCs w:val="24"/>
          <w:lang w:val="gl-ES"/>
        </w:rPr>
        <w:t xml:space="preserve"> </w:t>
      </w:r>
      <w:r w:rsidR="001A7465">
        <w:rPr>
          <w:rFonts w:ascii="Arial" w:hAnsi="Arial" w:cs="Arial"/>
          <w:sz w:val="24"/>
          <w:szCs w:val="24"/>
          <w:lang w:val="gl-ES"/>
        </w:rPr>
        <w:t xml:space="preserve">Así as cousas, </w:t>
      </w:r>
      <w:r w:rsidR="009029AB">
        <w:rPr>
          <w:rFonts w:ascii="Arial" w:hAnsi="Arial" w:cs="Arial"/>
          <w:sz w:val="24"/>
          <w:szCs w:val="24"/>
          <w:lang w:val="gl-ES"/>
        </w:rPr>
        <w:t>a desigualdade aumentou en preto de 30 puntos.</w:t>
      </w:r>
    </w:p>
    <w:p w:rsidR="00996FCC" w:rsidRDefault="00996FCC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Mulleres que acadaron como máximo o SMI foron o 36,2% no ano 2016, </w:t>
      </w:r>
      <w:r w:rsidR="001A7465">
        <w:rPr>
          <w:rFonts w:ascii="Arial" w:hAnsi="Arial" w:cs="Arial"/>
          <w:sz w:val="24"/>
          <w:szCs w:val="24"/>
          <w:lang w:val="gl-ES"/>
        </w:rPr>
        <w:t xml:space="preserve"> mentres que no ano 2009 eran o 32,5%. Así mesmo,</w:t>
      </w:r>
      <w:r>
        <w:rPr>
          <w:rFonts w:ascii="Arial" w:hAnsi="Arial" w:cs="Arial"/>
          <w:sz w:val="24"/>
          <w:szCs w:val="24"/>
          <w:lang w:val="gl-ES"/>
        </w:rPr>
        <w:t xml:space="preserve"> aumentou en preto de 4 puntos </w:t>
      </w:r>
      <w:r w:rsidR="004E1D21">
        <w:rPr>
          <w:rFonts w:ascii="Arial" w:hAnsi="Arial" w:cs="Arial"/>
          <w:sz w:val="24"/>
          <w:szCs w:val="24"/>
          <w:lang w:val="gl-ES"/>
        </w:rPr>
        <w:t>o número de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>
        <w:rPr>
          <w:rFonts w:ascii="Arial" w:hAnsi="Arial" w:cs="Arial"/>
          <w:sz w:val="24"/>
          <w:szCs w:val="24"/>
          <w:lang w:val="gl-ES"/>
        </w:rPr>
        <w:t xml:space="preserve">mulleres que non acadaron o SMI </w:t>
      </w:r>
      <w:r w:rsidR="001A7465">
        <w:rPr>
          <w:rFonts w:ascii="Arial" w:hAnsi="Arial" w:cs="Arial"/>
          <w:sz w:val="24"/>
          <w:szCs w:val="24"/>
          <w:lang w:val="gl-ES"/>
        </w:rPr>
        <w:t>ao</w:t>
      </w:r>
      <w:r>
        <w:rPr>
          <w:rFonts w:ascii="Arial" w:hAnsi="Arial" w:cs="Arial"/>
          <w:sz w:val="24"/>
          <w:szCs w:val="24"/>
          <w:lang w:val="gl-ES"/>
        </w:rPr>
        <w:t xml:space="preserve"> longo </w:t>
      </w:r>
      <w:r w:rsidR="00150A83">
        <w:rPr>
          <w:rFonts w:ascii="Arial" w:hAnsi="Arial" w:cs="Arial"/>
          <w:sz w:val="24"/>
          <w:szCs w:val="24"/>
          <w:lang w:val="gl-ES"/>
        </w:rPr>
        <w:t>deste período</w:t>
      </w:r>
      <w:r>
        <w:rPr>
          <w:rFonts w:ascii="Arial" w:hAnsi="Arial" w:cs="Arial"/>
          <w:sz w:val="24"/>
          <w:szCs w:val="24"/>
          <w:lang w:val="gl-ES"/>
        </w:rPr>
        <w:t>.</w:t>
      </w:r>
    </w:p>
    <w:p w:rsidR="004E1D21" w:rsidRDefault="001E4F18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O </w:t>
      </w:r>
      <w:r w:rsidR="004E1D21">
        <w:rPr>
          <w:rFonts w:ascii="Arial" w:hAnsi="Arial" w:cs="Arial"/>
          <w:sz w:val="24"/>
          <w:szCs w:val="24"/>
          <w:lang w:val="gl-ES"/>
        </w:rPr>
        <w:t>empeoramento das condicións salariais das mulleres explícase pol</w:t>
      </w:r>
      <w:r w:rsidR="001A7465">
        <w:rPr>
          <w:rFonts w:ascii="Arial" w:hAnsi="Arial" w:cs="Arial"/>
          <w:sz w:val="24"/>
          <w:szCs w:val="24"/>
          <w:lang w:val="gl-ES"/>
        </w:rPr>
        <w:t>a</w:t>
      </w:r>
      <w:r w:rsidR="004E1D21">
        <w:rPr>
          <w:rFonts w:ascii="Arial" w:hAnsi="Arial" w:cs="Arial"/>
          <w:sz w:val="24"/>
          <w:szCs w:val="24"/>
          <w:lang w:val="gl-ES"/>
        </w:rPr>
        <w:t xml:space="preserve"> deterior</w:t>
      </w:r>
      <w:r w:rsidR="001A7465">
        <w:rPr>
          <w:rFonts w:ascii="Arial" w:hAnsi="Arial" w:cs="Arial"/>
          <w:sz w:val="24"/>
          <w:szCs w:val="24"/>
          <w:lang w:val="gl-ES"/>
        </w:rPr>
        <w:t>ación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 w:rsidR="004E1D21">
        <w:rPr>
          <w:rFonts w:ascii="Arial" w:hAnsi="Arial" w:cs="Arial"/>
          <w:sz w:val="24"/>
          <w:szCs w:val="24"/>
          <w:lang w:val="gl-ES"/>
        </w:rPr>
        <w:t xml:space="preserve">das condicións laborais globais, propiciadas polas últimas reformas laborais, que coa xustificación de crear emprego permitiron unha desarticulación </w:t>
      </w:r>
      <w:r w:rsidR="004E1D21">
        <w:rPr>
          <w:rFonts w:ascii="Arial" w:hAnsi="Arial" w:cs="Arial"/>
          <w:sz w:val="24"/>
          <w:szCs w:val="24"/>
          <w:lang w:val="gl-ES"/>
        </w:rPr>
        <w:lastRenderedPageBreak/>
        <w:t>da lexislación laboral que levou a afondar na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 w:rsidR="004E1D21">
        <w:rPr>
          <w:rFonts w:ascii="Arial" w:hAnsi="Arial" w:cs="Arial"/>
          <w:sz w:val="24"/>
          <w:szCs w:val="24"/>
          <w:lang w:val="gl-ES"/>
        </w:rPr>
        <w:t>precarización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 w:rsidR="004E1D21">
        <w:rPr>
          <w:rFonts w:ascii="Arial" w:hAnsi="Arial" w:cs="Arial"/>
          <w:sz w:val="24"/>
          <w:szCs w:val="24"/>
          <w:lang w:val="gl-ES"/>
        </w:rPr>
        <w:t>do mercado de traballo.</w:t>
      </w:r>
      <w:r w:rsidR="00B65732">
        <w:rPr>
          <w:rFonts w:ascii="Arial" w:hAnsi="Arial" w:cs="Arial"/>
          <w:sz w:val="24"/>
          <w:szCs w:val="24"/>
          <w:lang w:val="gl-ES"/>
        </w:rPr>
        <w:t xml:space="preserve"> </w:t>
      </w:r>
      <w:r w:rsidR="004E1D21">
        <w:rPr>
          <w:rFonts w:ascii="Arial" w:hAnsi="Arial" w:cs="Arial"/>
          <w:sz w:val="24"/>
          <w:szCs w:val="24"/>
          <w:lang w:val="gl-ES"/>
        </w:rPr>
        <w:t>Forte rotación na contratación, escasa duración dos contratos, aumento da contratación a tempo parcial, a non aplicabilidade de convenios</w:t>
      </w:r>
      <w:r w:rsidR="001A7465">
        <w:rPr>
          <w:rFonts w:ascii="Arial" w:hAnsi="Arial" w:cs="Arial"/>
          <w:sz w:val="24"/>
          <w:szCs w:val="24"/>
          <w:lang w:val="gl-ES"/>
        </w:rPr>
        <w:t xml:space="preserve">, etc., </w:t>
      </w:r>
      <w:r w:rsidR="004E1D21">
        <w:rPr>
          <w:rFonts w:ascii="Arial" w:hAnsi="Arial" w:cs="Arial"/>
          <w:sz w:val="24"/>
          <w:szCs w:val="24"/>
          <w:lang w:val="gl-ES"/>
        </w:rPr>
        <w:t>explican a perda de ingresos salariais descrit</w:t>
      </w:r>
      <w:r w:rsidR="001A7465">
        <w:rPr>
          <w:rFonts w:ascii="Arial" w:hAnsi="Arial" w:cs="Arial"/>
          <w:sz w:val="24"/>
          <w:szCs w:val="24"/>
          <w:lang w:val="gl-ES"/>
        </w:rPr>
        <w:t>a</w:t>
      </w:r>
      <w:r w:rsidR="004E1D21">
        <w:rPr>
          <w:rFonts w:ascii="Arial" w:hAnsi="Arial" w:cs="Arial"/>
          <w:sz w:val="24"/>
          <w:szCs w:val="24"/>
          <w:lang w:val="gl-ES"/>
        </w:rPr>
        <w:t xml:space="preserve"> </w:t>
      </w:r>
      <w:r w:rsidR="001A7465">
        <w:rPr>
          <w:rFonts w:ascii="Arial" w:hAnsi="Arial" w:cs="Arial"/>
          <w:sz w:val="24"/>
          <w:szCs w:val="24"/>
          <w:lang w:val="gl-ES"/>
        </w:rPr>
        <w:t xml:space="preserve">con </w:t>
      </w:r>
      <w:r w:rsidR="004E1D21">
        <w:rPr>
          <w:rFonts w:ascii="Arial" w:hAnsi="Arial" w:cs="Arial"/>
          <w:sz w:val="24"/>
          <w:szCs w:val="24"/>
          <w:lang w:val="gl-ES"/>
        </w:rPr>
        <w:t>anterio</w:t>
      </w:r>
      <w:r w:rsidR="001A7465">
        <w:rPr>
          <w:rFonts w:ascii="Arial" w:hAnsi="Arial" w:cs="Arial"/>
          <w:sz w:val="24"/>
          <w:szCs w:val="24"/>
          <w:lang w:val="gl-ES"/>
        </w:rPr>
        <w:t>ridade</w:t>
      </w:r>
      <w:r w:rsidR="004E1D21">
        <w:rPr>
          <w:rFonts w:ascii="Arial" w:hAnsi="Arial" w:cs="Arial"/>
          <w:sz w:val="24"/>
          <w:szCs w:val="24"/>
          <w:lang w:val="gl-ES"/>
        </w:rPr>
        <w:t>.</w:t>
      </w:r>
    </w:p>
    <w:p w:rsidR="004E1D21" w:rsidRDefault="004E1D21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Antes de analizar</w:t>
      </w:r>
      <w:r w:rsidR="001A7465">
        <w:rPr>
          <w:rFonts w:ascii="Arial" w:hAnsi="Arial" w:cs="Arial"/>
          <w:sz w:val="24"/>
          <w:szCs w:val="24"/>
          <w:lang w:val="gl-ES"/>
        </w:rPr>
        <w:t>mos</w:t>
      </w:r>
      <w:r w:rsidR="00C714CD">
        <w:rPr>
          <w:rFonts w:ascii="Arial" w:hAnsi="Arial" w:cs="Arial"/>
          <w:sz w:val="24"/>
          <w:szCs w:val="24"/>
          <w:lang w:val="gl-ES"/>
        </w:rPr>
        <w:t xml:space="preserve"> o resto das </w:t>
      </w:r>
      <w:r>
        <w:rPr>
          <w:rFonts w:ascii="Arial" w:hAnsi="Arial" w:cs="Arial"/>
          <w:sz w:val="24"/>
          <w:szCs w:val="24"/>
          <w:lang w:val="gl-ES"/>
        </w:rPr>
        <w:t>condicións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 w:rsidR="00C714CD">
        <w:rPr>
          <w:rFonts w:ascii="Arial" w:hAnsi="Arial" w:cs="Arial"/>
          <w:sz w:val="24"/>
          <w:szCs w:val="24"/>
          <w:lang w:val="gl-ES"/>
        </w:rPr>
        <w:t xml:space="preserve">das traballadoras, imos comezar pola análise da poboación activa, é dicir, polo numero de mulleres que ben teñen unha ocupación ou </w:t>
      </w:r>
      <w:r w:rsidR="001A7465">
        <w:rPr>
          <w:rFonts w:ascii="Arial" w:hAnsi="Arial" w:cs="Arial"/>
          <w:sz w:val="24"/>
          <w:szCs w:val="24"/>
          <w:lang w:val="gl-ES"/>
        </w:rPr>
        <w:t xml:space="preserve">ben </w:t>
      </w:r>
      <w:r w:rsidR="00C714CD">
        <w:rPr>
          <w:rFonts w:ascii="Arial" w:hAnsi="Arial" w:cs="Arial"/>
          <w:sz w:val="24"/>
          <w:szCs w:val="24"/>
          <w:lang w:val="gl-ES"/>
        </w:rPr>
        <w:t>están paradas á espera</w:t>
      </w:r>
      <w:r w:rsidR="001A7465">
        <w:rPr>
          <w:rFonts w:ascii="Arial" w:hAnsi="Arial" w:cs="Arial"/>
          <w:sz w:val="24"/>
          <w:szCs w:val="24"/>
          <w:lang w:val="gl-ES"/>
        </w:rPr>
        <w:t xml:space="preserve"> desta.</w:t>
      </w:r>
    </w:p>
    <w:p w:rsidR="00C714CD" w:rsidRDefault="00C714CD" w:rsidP="00A81E1A">
      <w:pPr>
        <w:jc w:val="both"/>
        <w:rPr>
          <w:rFonts w:ascii="Arial" w:hAnsi="Arial" w:cs="Arial"/>
          <w:sz w:val="24"/>
          <w:szCs w:val="24"/>
          <w:lang w:val="gl-ES"/>
        </w:rPr>
      </w:pPr>
    </w:p>
    <w:p w:rsidR="00C714CD" w:rsidRDefault="00C714CD" w:rsidP="00A81E1A">
      <w:pPr>
        <w:jc w:val="both"/>
        <w:rPr>
          <w:rFonts w:ascii="Arial" w:hAnsi="Arial" w:cs="Arial"/>
          <w:b/>
          <w:sz w:val="32"/>
          <w:szCs w:val="32"/>
          <w:lang w:val="gl-ES"/>
        </w:rPr>
      </w:pPr>
      <w:r w:rsidRPr="00C714CD">
        <w:rPr>
          <w:rFonts w:ascii="Arial" w:hAnsi="Arial" w:cs="Arial"/>
          <w:b/>
          <w:sz w:val="32"/>
          <w:szCs w:val="32"/>
          <w:lang w:val="gl-ES"/>
        </w:rPr>
        <w:t>Poboación activa</w:t>
      </w:r>
    </w:p>
    <w:p w:rsidR="00253609" w:rsidRPr="00253609" w:rsidRDefault="00253609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 w:rsidRPr="00253609">
        <w:rPr>
          <w:rFonts w:ascii="Arial" w:hAnsi="Arial" w:cs="Arial"/>
          <w:sz w:val="24"/>
          <w:szCs w:val="24"/>
          <w:lang w:val="gl-ES"/>
        </w:rPr>
        <w:t>Evolución da</w:t>
      </w:r>
      <w:r>
        <w:rPr>
          <w:rFonts w:ascii="Arial" w:hAnsi="Arial" w:cs="Arial"/>
          <w:sz w:val="24"/>
          <w:szCs w:val="24"/>
          <w:lang w:val="gl-ES"/>
        </w:rPr>
        <w:t xml:space="preserve"> poboación activa.</w:t>
      </w:r>
    </w:p>
    <w:tbl>
      <w:tblPr>
        <w:tblStyle w:val="Sombreadoclaro-nfasis4"/>
        <w:tblpPr w:leftFromText="180" w:rightFromText="180" w:vertAnchor="text" w:horzAnchor="page" w:tblpX="973" w:tblpY="436"/>
        <w:tblW w:w="10982" w:type="dxa"/>
        <w:tblLook w:val="04A0"/>
      </w:tblPr>
      <w:tblGrid>
        <w:gridCol w:w="1022"/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  <w:gridCol w:w="996"/>
      </w:tblGrid>
      <w:tr w:rsidR="00C714CD" w:rsidRPr="00C714CD" w:rsidTr="00C714CD">
        <w:trPr>
          <w:cnfStyle w:val="100000000000"/>
          <w:trHeight w:val="298"/>
        </w:trPr>
        <w:tc>
          <w:tcPr>
            <w:cnfStyle w:val="001000000000"/>
            <w:tcW w:w="0" w:type="auto"/>
            <w:hideMark/>
          </w:tcPr>
          <w:p w:rsidR="00C714CD" w:rsidRPr="00C714CD" w:rsidRDefault="00C714CD" w:rsidP="00C714CD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hideMark/>
          </w:tcPr>
          <w:p w:rsidR="00C714CD" w:rsidRPr="00C714CD" w:rsidRDefault="00C714CD" w:rsidP="00C714CD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0" w:type="auto"/>
            <w:hideMark/>
          </w:tcPr>
          <w:p w:rsidR="00C714CD" w:rsidRPr="00C714CD" w:rsidRDefault="00C714CD" w:rsidP="00C714CD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0" w:type="auto"/>
            <w:hideMark/>
          </w:tcPr>
          <w:p w:rsidR="00C714CD" w:rsidRPr="00C714CD" w:rsidRDefault="00C714CD" w:rsidP="00C714CD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0" w:type="auto"/>
            <w:hideMark/>
          </w:tcPr>
          <w:p w:rsidR="00C714CD" w:rsidRPr="00C714CD" w:rsidRDefault="00C714CD" w:rsidP="00C714CD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0" w:type="auto"/>
            <w:hideMark/>
          </w:tcPr>
          <w:p w:rsidR="00C714CD" w:rsidRPr="00C714CD" w:rsidRDefault="00C714CD" w:rsidP="00C714CD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0" w:type="auto"/>
            <w:hideMark/>
          </w:tcPr>
          <w:p w:rsidR="00C714CD" w:rsidRPr="00C714CD" w:rsidRDefault="00C714CD" w:rsidP="00C714CD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0" w:type="auto"/>
            <w:hideMark/>
          </w:tcPr>
          <w:p w:rsidR="00C714CD" w:rsidRPr="00C714CD" w:rsidRDefault="00C714CD" w:rsidP="00C714CD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0" w:type="auto"/>
            <w:hideMark/>
          </w:tcPr>
          <w:p w:rsidR="00C714CD" w:rsidRPr="00C714CD" w:rsidRDefault="00C714CD" w:rsidP="00C714CD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0" w:type="auto"/>
            <w:hideMark/>
          </w:tcPr>
          <w:p w:rsidR="00C714CD" w:rsidRPr="00C714CD" w:rsidRDefault="00C714CD" w:rsidP="00C714CD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0" w:type="auto"/>
            <w:hideMark/>
          </w:tcPr>
          <w:p w:rsidR="00C714CD" w:rsidRPr="00C714CD" w:rsidRDefault="00C714CD" w:rsidP="00C714CD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</w:tr>
      <w:tr w:rsidR="00C714CD" w:rsidRPr="00C714CD" w:rsidTr="00C714CD">
        <w:trPr>
          <w:cnfStyle w:val="000000100000"/>
          <w:trHeight w:val="298"/>
        </w:trPr>
        <w:tc>
          <w:tcPr>
            <w:cnfStyle w:val="001000000000"/>
            <w:tcW w:w="0" w:type="auto"/>
            <w:hideMark/>
          </w:tcPr>
          <w:p w:rsidR="00C714CD" w:rsidRPr="00C714CD" w:rsidRDefault="00C714CD" w:rsidP="00C714CD">
            <w:pPr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0" w:type="auto"/>
            <w:hideMark/>
          </w:tcPr>
          <w:p w:rsidR="00C714CD" w:rsidRPr="00C714CD" w:rsidRDefault="00C714CD" w:rsidP="00C714CD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1.314,80</w:t>
            </w:r>
          </w:p>
        </w:tc>
        <w:tc>
          <w:tcPr>
            <w:tcW w:w="0" w:type="auto"/>
            <w:hideMark/>
          </w:tcPr>
          <w:p w:rsidR="00C714CD" w:rsidRPr="00C714CD" w:rsidRDefault="00C714CD" w:rsidP="00C714CD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1.319,50</w:t>
            </w:r>
          </w:p>
        </w:tc>
        <w:tc>
          <w:tcPr>
            <w:tcW w:w="0" w:type="auto"/>
            <w:hideMark/>
          </w:tcPr>
          <w:p w:rsidR="00C714CD" w:rsidRPr="00C714CD" w:rsidRDefault="00C714CD" w:rsidP="00C714CD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1.304,40</w:t>
            </w:r>
          </w:p>
        </w:tc>
        <w:tc>
          <w:tcPr>
            <w:tcW w:w="0" w:type="auto"/>
            <w:hideMark/>
          </w:tcPr>
          <w:p w:rsidR="00C714CD" w:rsidRPr="00C714CD" w:rsidRDefault="00C714CD" w:rsidP="00C714CD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1.316,60</w:t>
            </w:r>
          </w:p>
        </w:tc>
        <w:tc>
          <w:tcPr>
            <w:tcW w:w="0" w:type="auto"/>
            <w:hideMark/>
          </w:tcPr>
          <w:p w:rsidR="00C714CD" w:rsidRPr="00C714CD" w:rsidRDefault="00C714CD" w:rsidP="00C714CD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1.317,70</w:t>
            </w:r>
          </w:p>
        </w:tc>
        <w:tc>
          <w:tcPr>
            <w:tcW w:w="0" w:type="auto"/>
            <w:hideMark/>
          </w:tcPr>
          <w:p w:rsidR="00C714CD" w:rsidRPr="00C714CD" w:rsidRDefault="00C714CD" w:rsidP="00C714CD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1.290,90</w:t>
            </w:r>
          </w:p>
        </w:tc>
        <w:tc>
          <w:tcPr>
            <w:tcW w:w="0" w:type="auto"/>
            <w:hideMark/>
          </w:tcPr>
          <w:p w:rsidR="00C714CD" w:rsidRPr="00C714CD" w:rsidRDefault="00C714CD" w:rsidP="00C714CD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1.273,90</w:t>
            </w:r>
          </w:p>
        </w:tc>
        <w:tc>
          <w:tcPr>
            <w:tcW w:w="0" w:type="auto"/>
            <w:hideMark/>
          </w:tcPr>
          <w:p w:rsidR="00C714CD" w:rsidRPr="00C714CD" w:rsidRDefault="00C714CD" w:rsidP="00C714CD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1.260,70</w:t>
            </w:r>
          </w:p>
        </w:tc>
        <w:tc>
          <w:tcPr>
            <w:tcW w:w="0" w:type="auto"/>
            <w:hideMark/>
          </w:tcPr>
          <w:p w:rsidR="00C714CD" w:rsidRPr="00C714CD" w:rsidRDefault="00C714CD" w:rsidP="00C714CD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1.256,10</w:t>
            </w:r>
          </w:p>
        </w:tc>
        <w:tc>
          <w:tcPr>
            <w:tcW w:w="0" w:type="auto"/>
            <w:hideMark/>
          </w:tcPr>
          <w:p w:rsidR="00C714CD" w:rsidRPr="00C714CD" w:rsidRDefault="00C714CD" w:rsidP="00C714CD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1.248,30</w:t>
            </w:r>
          </w:p>
        </w:tc>
      </w:tr>
      <w:tr w:rsidR="00C714CD" w:rsidRPr="00C714CD" w:rsidTr="00C714CD">
        <w:trPr>
          <w:trHeight w:val="298"/>
        </w:trPr>
        <w:tc>
          <w:tcPr>
            <w:cnfStyle w:val="001000000000"/>
            <w:tcW w:w="0" w:type="auto"/>
            <w:hideMark/>
          </w:tcPr>
          <w:p w:rsidR="00C714CD" w:rsidRPr="00C714CD" w:rsidRDefault="00C714CD" w:rsidP="00C714CD">
            <w:pPr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Homes</w:t>
            </w:r>
          </w:p>
        </w:tc>
        <w:tc>
          <w:tcPr>
            <w:tcW w:w="0" w:type="auto"/>
            <w:hideMark/>
          </w:tcPr>
          <w:p w:rsidR="00C714CD" w:rsidRPr="00C714CD" w:rsidRDefault="00C714CD" w:rsidP="00C714CD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725,6</w:t>
            </w:r>
          </w:p>
        </w:tc>
        <w:tc>
          <w:tcPr>
            <w:tcW w:w="0" w:type="auto"/>
            <w:hideMark/>
          </w:tcPr>
          <w:p w:rsidR="00C714CD" w:rsidRPr="00C714CD" w:rsidRDefault="00C714CD" w:rsidP="00C714CD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714</w:t>
            </w:r>
          </w:p>
        </w:tc>
        <w:tc>
          <w:tcPr>
            <w:tcW w:w="0" w:type="auto"/>
            <w:hideMark/>
          </w:tcPr>
          <w:p w:rsidR="00C714CD" w:rsidRPr="00C714CD" w:rsidRDefault="00C714CD" w:rsidP="00C714CD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705,6</w:t>
            </w:r>
          </w:p>
        </w:tc>
        <w:tc>
          <w:tcPr>
            <w:tcW w:w="0" w:type="auto"/>
            <w:hideMark/>
          </w:tcPr>
          <w:p w:rsidR="00C714CD" w:rsidRPr="00C714CD" w:rsidRDefault="00C714CD" w:rsidP="00C714CD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703</w:t>
            </w:r>
          </w:p>
        </w:tc>
        <w:tc>
          <w:tcPr>
            <w:tcW w:w="0" w:type="auto"/>
            <w:hideMark/>
          </w:tcPr>
          <w:p w:rsidR="00C714CD" w:rsidRPr="00C714CD" w:rsidRDefault="00C714CD" w:rsidP="00C714CD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700,2</w:t>
            </w:r>
          </w:p>
        </w:tc>
        <w:tc>
          <w:tcPr>
            <w:tcW w:w="0" w:type="auto"/>
            <w:hideMark/>
          </w:tcPr>
          <w:p w:rsidR="00C714CD" w:rsidRPr="00C714CD" w:rsidRDefault="00C714CD" w:rsidP="00C714CD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683,1</w:t>
            </w:r>
          </w:p>
        </w:tc>
        <w:tc>
          <w:tcPr>
            <w:tcW w:w="0" w:type="auto"/>
            <w:hideMark/>
          </w:tcPr>
          <w:p w:rsidR="00C714CD" w:rsidRPr="00C714CD" w:rsidRDefault="00C714CD" w:rsidP="00C714CD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668,9</w:t>
            </w:r>
          </w:p>
        </w:tc>
        <w:tc>
          <w:tcPr>
            <w:tcW w:w="0" w:type="auto"/>
            <w:hideMark/>
          </w:tcPr>
          <w:p w:rsidR="00C714CD" w:rsidRPr="00C714CD" w:rsidRDefault="00C714CD" w:rsidP="00C714CD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661,6</w:t>
            </w:r>
          </w:p>
        </w:tc>
        <w:tc>
          <w:tcPr>
            <w:tcW w:w="0" w:type="auto"/>
            <w:hideMark/>
          </w:tcPr>
          <w:p w:rsidR="00C714CD" w:rsidRPr="00C714CD" w:rsidRDefault="00C714CD" w:rsidP="00C714CD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657,8</w:t>
            </w:r>
          </w:p>
        </w:tc>
        <w:tc>
          <w:tcPr>
            <w:tcW w:w="0" w:type="auto"/>
            <w:hideMark/>
          </w:tcPr>
          <w:p w:rsidR="00C714CD" w:rsidRPr="00C714CD" w:rsidRDefault="00C714CD" w:rsidP="00C714CD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648,6</w:t>
            </w:r>
          </w:p>
        </w:tc>
      </w:tr>
      <w:tr w:rsidR="00C714CD" w:rsidRPr="00C714CD" w:rsidTr="00C714CD">
        <w:trPr>
          <w:cnfStyle w:val="000000100000"/>
          <w:trHeight w:val="298"/>
        </w:trPr>
        <w:tc>
          <w:tcPr>
            <w:cnfStyle w:val="001000000000"/>
            <w:tcW w:w="0" w:type="auto"/>
            <w:hideMark/>
          </w:tcPr>
          <w:p w:rsidR="00C714CD" w:rsidRPr="00C714CD" w:rsidRDefault="00C714CD" w:rsidP="00C714CD">
            <w:pPr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Mulleres</w:t>
            </w:r>
          </w:p>
        </w:tc>
        <w:tc>
          <w:tcPr>
            <w:tcW w:w="0" w:type="auto"/>
            <w:hideMark/>
          </w:tcPr>
          <w:p w:rsidR="00C714CD" w:rsidRPr="00C714CD" w:rsidRDefault="00C714CD" w:rsidP="00C714CD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589,1</w:t>
            </w:r>
          </w:p>
        </w:tc>
        <w:tc>
          <w:tcPr>
            <w:tcW w:w="0" w:type="auto"/>
            <w:hideMark/>
          </w:tcPr>
          <w:p w:rsidR="00C714CD" w:rsidRPr="00C714CD" w:rsidRDefault="00C714CD" w:rsidP="00C714CD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605,4</w:t>
            </w:r>
          </w:p>
        </w:tc>
        <w:tc>
          <w:tcPr>
            <w:tcW w:w="0" w:type="auto"/>
            <w:hideMark/>
          </w:tcPr>
          <w:p w:rsidR="00C714CD" w:rsidRPr="00C714CD" w:rsidRDefault="00C714CD" w:rsidP="00C714CD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598,8</w:t>
            </w:r>
          </w:p>
        </w:tc>
        <w:tc>
          <w:tcPr>
            <w:tcW w:w="0" w:type="auto"/>
            <w:hideMark/>
          </w:tcPr>
          <w:p w:rsidR="00C714CD" w:rsidRPr="00C714CD" w:rsidRDefault="00C714CD" w:rsidP="00C714CD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613,5</w:t>
            </w:r>
          </w:p>
        </w:tc>
        <w:tc>
          <w:tcPr>
            <w:tcW w:w="0" w:type="auto"/>
            <w:hideMark/>
          </w:tcPr>
          <w:p w:rsidR="00C714CD" w:rsidRPr="00C714CD" w:rsidRDefault="00C714CD" w:rsidP="00C714CD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617,5</w:t>
            </w:r>
          </w:p>
        </w:tc>
        <w:tc>
          <w:tcPr>
            <w:tcW w:w="0" w:type="auto"/>
            <w:hideMark/>
          </w:tcPr>
          <w:p w:rsidR="00C714CD" w:rsidRPr="00C714CD" w:rsidRDefault="00C714CD" w:rsidP="00C714CD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607,9</w:t>
            </w:r>
          </w:p>
        </w:tc>
        <w:tc>
          <w:tcPr>
            <w:tcW w:w="0" w:type="auto"/>
            <w:hideMark/>
          </w:tcPr>
          <w:p w:rsidR="00C714CD" w:rsidRPr="00C714CD" w:rsidRDefault="00C714CD" w:rsidP="00C714CD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605</w:t>
            </w:r>
          </w:p>
        </w:tc>
        <w:tc>
          <w:tcPr>
            <w:tcW w:w="0" w:type="auto"/>
            <w:hideMark/>
          </w:tcPr>
          <w:p w:rsidR="00C714CD" w:rsidRPr="00C714CD" w:rsidRDefault="00C714CD" w:rsidP="00C714CD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599,1</w:t>
            </w:r>
          </w:p>
        </w:tc>
        <w:tc>
          <w:tcPr>
            <w:tcW w:w="0" w:type="auto"/>
            <w:hideMark/>
          </w:tcPr>
          <w:p w:rsidR="00C714CD" w:rsidRPr="00C714CD" w:rsidRDefault="00C714CD" w:rsidP="00C714CD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598,3</w:t>
            </w:r>
          </w:p>
        </w:tc>
        <w:tc>
          <w:tcPr>
            <w:tcW w:w="0" w:type="auto"/>
            <w:hideMark/>
          </w:tcPr>
          <w:p w:rsidR="00C714CD" w:rsidRPr="00C714CD" w:rsidRDefault="00C714CD" w:rsidP="00C714CD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C714CD">
              <w:rPr>
                <w:rFonts w:ascii="Calibri" w:eastAsia="Times New Roman" w:hAnsi="Calibri" w:cs="Times New Roman"/>
                <w:color w:val="000000"/>
              </w:rPr>
              <w:t>599,7</w:t>
            </w:r>
          </w:p>
        </w:tc>
      </w:tr>
    </w:tbl>
    <w:p w:rsidR="00C714CD" w:rsidRPr="004E08C4" w:rsidRDefault="00253609" w:rsidP="00A81E1A">
      <w:pPr>
        <w:jc w:val="both"/>
        <w:rPr>
          <w:rFonts w:ascii="Arial" w:hAnsi="Arial" w:cs="Arial"/>
          <w:i/>
          <w:sz w:val="24"/>
          <w:szCs w:val="24"/>
          <w:lang w:val="gl-ES"/>
        </w:rPr>
      </w:pPr>
      <w:r w:rsidRPr="004E08C4">
        <w:rPr>
          <w:rFonts w:ascii="Arial" w:hAnsi="Arial" w:cs="Arial"/>
          <w:i/>
          <w:sz w:val="24"/>
          <w:szCs w:val="24"/>
          <w:lang w:val="gl-ES"/>
        </w:rPr>
        <w:t>Fonte: EPA. INE</w:t>
      </w:r>
    </w:p>
    <w:p w:rsidR="00C714CD" w:rsidRDefault="00253609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 w:rsidRPr="00253609"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5619750" cy="2743200"/>
            <wp:effectExtent l="19050" t="0" r="19050" b="0"/>
            <wp:docPr id="2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30D90" w:rsidRDefault="00230D90" w:rsidP="00230D90">
      <w:pPr>
        <w:jc w:val="both"/>
        <w:rPr>
          <w:rFonts w:ascii="Arial" w:hAnsi="Arial" w:cs="Arial"/>
          <w:sz w:val="24"/>
          <w:szCs w:val="24"/>
          <w:lang w:val="gl-ES"/>
        </w:rPr>
      </w:pPr>
    </w:p>
    <w:p w:rsidR="00230D90" w:rsidRDefault="00230D90" w:rsidP="00230D90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O gráfico é moi ilustrativo.</w:t>
      </w:r>
    </w:p>
    <w:p w:rsidR="00CD20CA" w:rsidRDefault="006D09C9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Globalmente, a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 w:rsidR="00CD20CA">
        <w:rPr>
          <w:rFonts w:ascii="Arial" w:hAnsi="Arial" w:cs="Arial"/>
          <w:sz w:val="24"/>
          <w:szCs w:val="24"/>
          <w:lang w:val="gl-ES"/>
        </w:rPr>
        <w:t>perda de poboación activa foi unha constante</w:t>
      </w:r>
      <w:r w:rsidR="004E08C4">
        <w:rPr>
          <w:rFonts w:ascii="Arial" w:hAnsi="Arial" w:cs="Arial"/>
          <w:sz w:val="24"/>
          <w:szCs w:val="24"/>
          <w:lang w:val="gl-ES"/>
        </w:rPr>
        <w:t xml:space="preserve"> ao </w:t>
      </w:r>
      <w:r w:rsidR="00CD20CA">
        <w:rPr>
          <w:rFonts w:ascii="Arial" w:hAnsi="Arial" w:cs="Arial"/>
          <w:sz w:val="24"/>
          <w:szCs w:val="24"/>
          <w:lang w:val="gl-ES"/>
        </w:rPr>
        <w:t>longo desta travesía de crise que estamos padecendo</w:t>
      </w:r>
      <w:r w:rsidR="004E08C4">
        <w:rPr>
          <w:rFonts w:ascii="Arial" w:hAnsi="Arial" w:cs="Arial"/>
          <w:sz w:val="24"/>
          <w:szCs w:val="24"/>
          <w:lang w:val="gl-ES"/>
        </w:rPr>
        <w:t>, mais non afectou á</w:t>
      </w:r>
      <w:r w:rsidR="00CD20CA">
        <w:rPr>
          <w:rFonts w:ascii="Arial" w:hAnsi="Arial" w:cs="Arial"/>
          <w:sz w:val="24"/>
          <w:szCs w:val="24"/>
          <w:lang w:val="gl-ES"/>
        </w:rPr>
        <w:t>s mulleres</w:t>
      </w:r>
      <w:r w:rsidR="004E08C4">
        <w:rPr>
          <w:rFonts w:ascii="Arial" w:hAnsi="Arial" w:cs="Arial"/>
          <w:sz w:val="24"/>
          <w:szCs w:val="24"/>
          <w:lang w:val="gl-ES"/>
        </w:rPr>
        <w:t>. Máis ben ao contrario;</w:t>
      </w:r>
      <w:r w:rsidR="00CD20CA">
        <w:rPr>
          <w:rFonts w:ascii="Arial" w:hAnsi="Arial" w:cs="Arial"/>
          <w:sz w:val="24"/>
          <w:szCs w:val="24"/>
          <w:lang w:val="gl-ES"/>
        </w:rPr>
        <w:t xml:space="preserve"> de media</w:t>
      </w:r>
      <w:r w:rsidR="004E08C4">
        <w:rPr>
          <w:rFonts w:ascii="Arial" w:hAnsi="Arial" w:cs="Arial"/>
          <w:sz w:val="24"/>
          <w:szCs w:val="24"/>
          <w:lang w:val="gl-ES"/>
        </w:rPr>
        <w:t>,</w:t>
      </w:r>
      <w:r w:rsidR="00CD20CA">
        <w:rPr>
          <w:rFonts w:ascii="Arial" w:hAnsi="Arial" w:cs="Arial"/>
          <w:sz w:val="24"/>
          <w:szCs w:val="24"/>
          <w:lang w:val="gl-ES"/>
        </w:rPr>
        <w:t xml:space="preserve"> en 2017 estímase que hai 10.600 </w:t>
      </w:r>
      <w:r w:rsidR="007F6A1B">
        <w:rPr>
          <w:rFonts w:ascii="Arial" w:hAnsi="Arial" w:cs="Arial"/>
          <w:sz w:val="24"/>
          <w:szCs w:val="24"/>
          <w:lang w:val="gl-ES"/>
        </w:rPr>
        <w:t xml:space="preserve">máis </w:t>
      </w:r>
      <w:r w:rsidR="00CD20CA">
        <w:rPr>
          <w:rFonts w:ascii="Arial" w:hAnsi="Arial" w:cs="Arial"/>
          <w:sz w:val="24"/>
          <w:szCs w:val="24"/>
          <w:lang w:val="gl-ES"/>
        </w:rPr>
        <w:t xml:space="preserve">mulleres en activo </w:t>
      </w:r>
      <w:r w:rsidR="004E08C4">
        <w:rPr>
          <w:rFonts w:ascii="Arial" w:hAnsi="Arial" w:cs="Arial"/>
          <w:sz w:val="24"/>
          <w:szCs w:val="24"/>
          <w:lang w:val="gl-ES"/>
        </w:rPr>
        <w:lastRenderedPageBreak/>
        <w:t>que no ano 2008. Pola</w:t>
      </w:r>
      <w:r w:rsidR="00CD20CA">
        <w:rPr>
          <w:rFonts w:ascii="Arial" w:hAnsi="Arial" w:cs="Arial"/>
          <w:sz w:val="24"/>
          <w:szCs w:val="24"/>
          <w:lang w:val="gl-ES"/>
        </w:rPr>
        <w:t xml:space="preserve"> </w:t>
      </w:r>
      <w:r w:rsidR="004E08C4">
        <w:rPr>
          <w:rFonts w:ascii="Arial" w:hAnsi="Arial" w:cs="Arial"/>
          <w:sz w:val="24"/>
          <w:szCs w:val="24"/>
          <w:lang w:val="gl-ES"/>
        </w:rPr>
        <w:t>súa banda,</w:t>
      </w:r>
      <w:r w:rsidR="00CD20CA">
        <w:rPr>
          <w:rFonts w:ascii="Arial" w:hAnsi="Arial" w:cs="Arial"/>
          <w:sz w:val="24"/>
          <w:szCs w:val="24"/>
          <w:lang w:val="gl-ES"/>
        </w:rPr>
        <w:t xml:space="preserve"> entre os homes descendeu</w:t>
      </w:r>
      <w:r w:rsidR="004E08C4">
        <w:rPr>
          <w:rFonts w:ascii="Arial" w:hAnsi="Arial" w:cs="Arial"/>
          <w:sz w:val="24"/>
          <w:szCs w:val="24"/>
          <w:lang w:val="gl-ES"/>
        </w:rPr>
        <w:t xml:space="preserve"> a poboación activa;</w:t>
      </w:r>
      <w:r w:rsidR="00CD20CA">
        <w:rPr>
          <w:rFonts w:ascii="Arial" w:hAnsi="Arial" w:cs="Arial"/>
          <w:sz w:val="24"/>
          <w:szCs w:val="24"/>
          <w:lang w:val="gl-ES"/>
        </w:rPr>
        <w:t xml:space="preserve"> concretamente</w:t>
      </w:r>
      <w:r w:rsidR="004E08C4">
        <w:rPr>
          <w:rFonts w:ascii="Arial" w:hAnsi="Arial" w:cs="Arial"/>
          <w:sz w:val="24"/>
          <w:szCs w:val="24"/>
          <w:lang w:val="gl-ES"/>
        </w:rPr>
        <w:t>,</w:t>
      </w:r>
      <w:r w:rsidR="00CD20CA">
        <w:rPr>
          <w:rFonts w:ascii="Arial" w:hAnsi="Arial" w:cs="Arial"/>
          <w:sz w:val="24"/>
          <w:szCs w:val="24"/>
          <w:lang w:val="gl-ES"/>
        </w:rPr>
        <w:t xml:space="preserve"> 77.000 </w:t>
      </w:r>
      <w:r w:rsidR="004E08C4">
        <w:rPr>
          <w:rFonts w:ascii="Arial" w:hAnsi="Arial" w:cs="Arial"/>
          <w:sz w:val="24"/>
          <w:szCs w:val="24"/>
          <w:lang w:val="gl-ES"/>
        </w:rPr>
        <w:t xml:space="preserve">homes </w:t>
      </w:r>
      <w:r w:rsidR="00CD20CA">
        <w:rPr>
          <w:rFonts w:ascii="Arial" w:hAnsi="Arial" w:cs="Arial"/>
          <w:sz w:val="24"/>
          <w:szCs w:val="24"/>
          <w:lang w:val="gl-ES"/>
        </w:rPr>
        <w:t xml:space="preserve">activos menos que </w:t>
      </w:r>
      <w:r w:rsidR="004E08C4">
        <w:rPr>
          <w:rFonts w:ascii="Arial" w:hAnsi="Arial" w:cs="Arial"/>
          <w:sz w:val="24"/>
          <w:szCs w:val="24"/>
          <w:lang w:val="gl-ES"/>
        </w:rPr>
        <w:t>a</w:t>
      </w:r>
      <w:r w:rsidR="00CD20CA">
        <w:rPr>
          <w:rFonts w:ascii="Arial" w:hAnsi="Arial" w:cs="Arial"/>
          <w:sz w:val="24"/>
          <w:szCs w:val="24"/>
          <w:lang w:val="gl-ES"/>
        </w:rPr>
        <w:t>o inicio da crise.</w:t>
      </w:r>
    </w:p>
    <w:p w:rsidR="00230D90" w:rsidRDefault="00230D90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Así, as taxas de actividade medias fóronse acercando paulatinamente</w:t>
      </w:r>
      <w:r w:rsidR="004E08C4">
        <w:rPr>
          <w:rFonts w:ascii="Arial" w:hAnsi="Arial" w:cs="Arial"/>
          <w:sz w:val="24"/>
          <w:szCs w:val="24"/>
          <w:lang w:val="gl-ES"/>
        </w:rPr>
        <w:t>. N</w:t>
      </w:r>
      <w:r>
        <w:rPr>
          <w:rFonts w:ascii="Arial" w:hAnsi="Arial" w:cs="Arial"/>
          <w:sz w:val="24"/>
          <w:szCs w:val="24"/>
          <w:lang w:val="gl-ES"/>
        </w:rPr>
        <w:t>o ano 2008 a diferenza ent</w:t>
      </w:r>
      <w:r w:rsidR="004E08C4">
        <w:rPr>
          <w:rFonts w:ascii="Arial" w:hAnsi="Arial" w:cs="Arial"/>
          <w:sz w:val="24"/>
          <w:szCs w:val="24"/>
          <w:lang w:val="gl-ES"/>
        </w:rPr>
        <w:t>r</w:t>
      </w:r>
      <w:r>
        <w:rPr>
          <w:rFonts w:ascii="Arial" w:hAnsi="Arial" w:cs="Arial"/>
          <w:sz w:val="24"/>
          <w:szCs w:val="24"/>
          <w:lang w:val="gl-ES"/>
        </w:rPr>
        <w:t>ambos os sexos era de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 w:rsidR="004E08C4">
        <w:rPr>
          <w:rFonts w:ascii="Arial" w:hAnsi="Arial" w:cs="Arial"/>
          <w:sz w:val="24"/>
          <w:szCs w:val="24"/>
          <w:lang w:val="gl-ES"/>
        </w:rPr>
        <w:t xml:space="preserve">16,2 puntos. A </w:t>
      </w:r>
      <w:r>
        <w:rPr>
          <w:rFonts w:ascii="Arial" w:hAnsi="Arial" w:cs="Arial"/>
          <w:sz w:val="24"/>
          <w:szCs w:val="24"/>
          <w:lang w:val="gl-ES"/>
        </w:rPr>
        <w:t xml:space="preserve">finais de 2017 reduciuse ata os 8,8 puntos, situándose no 57,9% a </w:t>
      </w:r>
      <w:r w:rsidR="004E08C4">
        <w:rPr>
          <w:rFonts w:ascii="Arial" w:hAnsi="Arial" w:cs="Arial"/>
          <w:sz w:val="24"/>
          <w:szCs w:val="24"/>
          <w:lang w:val="gl-ES"/>
        </w:rPr>
        <w:t xml:space="preserve">taxa </w:t>
      </w:r>
      <w:r>
        <w:rPr>
          <w:rFonts w:ascii="Arial" w:hAnsi="Arial" w:cs="Arial"/>
          <w:sz w:val="24"/>
          <w:szCs w:val="24"/>
          <w:lang w:val="gl-ES"/>
        </w:rPr>
        <w:t>masculina e no 49,1% a feminina.</w:t>
      </w:r>
    </w:p>
    <w:p w:rsidR="00230D90" w:rsidRDefault="00230D90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Esta é un </w:t>
      </w:r>
      <w:r w:rsidR="00FC51EC">
        <w:rPr>
          <w:rFonts w:ascii="Arial" w:hAnsi="Arial" w:cs="Arial"/>
          <w:sz w:val="24"/>
          <w:szCs w:val="24"/>
          <w:lang w:val="gl-ES"/>
        </w:rPr>
        <w:t>dos rat</w:t>
      </w:r>
      <w:r w:rsidR="004E08C4">
        <w:rPr>
          <w:rFonts w:ascii="Arial" w:hAnsi="Arial" w:cs="Arial"/>
          <w:sz w:val="24"/>
          <w:szCs w:val="24"/>
          <w:lang w:val="gl-ES"/>
        </w:rPr>
        <w:t>i</w:t>
      </w:r>
      <w:r w:rsidR="00FC51EC">
        <w:rPr>
          <w:rFonts w:ascii="Arial" w:hAnsi="Arial" w:cs="Arial"/>
          <w:sz w:val="24"/>
          <w:szCs w:val="24"/>
          <w:lang w:val="gl-ES"/>
        </w:rPr>
        <w:t>os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 w:rsidR="00FC51EC">
        <w:rPr>
          <w:rFonts w:ascii="Arial" w:hAnsi="Arial" w:cs="Arial"/>
          <w:sz w:val="24"/>
          <w:szCs w:val="24"/>
          <w:lang w:val="gl-ES"/>
        </w:rPr>
        <w:t>no</w:t>
      </w:r>
      <w:r w:rsidR="00EE5633">
        <w:rPr>
          <w:rFonts w:ascii="Arial" w:hAnsi="Arial" w:cs="Arial"/>
          <w:sz w:val="24"/>
          <w:szCs w:val="24"/>
          <w:lang w:val="gl-ES"/>
        </w:rPr>
        <w:t>s</w:t>
      </w:r>
      <w:r w:rsidR="00FC51EC">
        <w:rPr>
          <w:rFonts w:ascii="Arial" w:hAnsi="Arial" w:cs="Arial"/>
          <w:sz w:val="24"/>
          <w:szCs w:val="24"/>
          <w:lang w:val="gl-ES"/>
        </w:rPr>
        <w:t xml:space="preserve"> que mellora a comparativa cos homes,</w:t>
      </w:r>
      <w:r w:rsidR="004E08C4">
        <w:rPr>
          <w:rFonts w:ascii="Arial" w:hAnsi="Arial" w:cs="Arial"/>
          <w:sz w:val="24"/>
          <w:szCs w:val="24"/>
          <w:lang w:val="gl-ES"/>
        </w:rPr>
        <w:t xml:space="preserve"> mais é debido ao</w:t>
      </w:r>
      <w:r w:rsidR="00FC51EC">
        <w:rPr>
          <w:rFonts w:ascii="Arial" w:hAnsi="Arial" w:cs="Arial"/>
          <w:sz w:val="24"/>
          <w:szCs w:val="24"/>
          <w:lang w:val="gl-ES"/>
        </w:rPr>
        <w:t xml:space="preserve"> quebranto da situación masculina.</w:t>
      </w:r>
    </w:p>
    <w:p w:rsidR="00FC51EC" w:rsidRDefault="00FC51EC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Cando analizamos a evolución da poboación activa feminina por idades, o que nun principio se podería </w:t>
      </w:r>
      <w:r w:rsidR="004E08C4">
        <w:rPr>
          <w:rFonts w:ascii="Arial" w:hAnsi="Arial" w:cs="Arial"/>
          <w:sz w:val="24"/>
          <w:szCs w:val="24"/>
          <w:lang w:val="gl-ES"/>
        </w:rPr>
        <w:t>a</w:t>
      </w:r>
      <w:r>
        <w:rPr>
          <w:rFonts w:ascii="Arial" w:hAnsi="Arial" w:cs="Arial"/>
          <w:sz w:val="24"/>
          <w:szCs w:val="24"/>
          <w:lang w:val="gl-ES"/>
        </w:rPr>
        <w:t>val</w:t>
      </w:r>
      <w:r w:rsidR="004E08C4">
        <w:rPr>
          <w:rFonts w:ascii="Arial" w:hAnsi="Arial" w:cs="Arial"/>
          <w:sz w:val="24"/>
          <w:szCs w:val="24"/>
          <w:lang w:val="gl-ES"/>
        </w:rPr>
        <w:t>i</w:t>
      </w:r>
      <w:r>
        <w:rPr>
          <w:rFonts w:ascii="Arial" w:hAnsi="Arial" w:cs="Arial"/>
          <w:sz w:val="24"/>
          <w:szCs w:val="24"/>
          <w:lang w:val="gl-ES"/>
        </w:rPr>
        <w:t>ar como positivo, comeza a xerar múltipl</w:t>
      </w:r>
      <w:r w:rsidR="004E08C4">
        <w:rPr>
          <w:rFonts w:ascii="Arial" w:hAnsi="Arial" w:cs="Arial"/>
          <w:sz w:val="24"/>
          <w:szCs w:val="24"/>
          <w:lang w:val="gl-ES"/>
        </w:rPr>
        <w:t>a</w:t>
      </w:r>
      <w:r>
        <w:rPr>
          <w:rFonts w:ascii="Arial" w:hAnsi="Arial" w:cs="Arial"/>
          <w:sz w:val="24"/>
          <w:szCs w:val="24"/>
          <w:lang w:val="gl-ES"/>
        </w:rPr>
        <w:t>s dúbidas.</w:t>
      </w:r>
    </w:p>
    <w:p w:rsidR="00822E72" w:rsidRDefault="00822E72" w:rsidP="00A81E1A">
      <w:pPr>
        <w:jc w:val="both"/>
        <w:rPr>
          <w:rFonts w:ascii="Arial" w:hAnsi="Arial" w:cs="Arial"/>
          <w:sz w:val="24"/>
          <w:szCs w:val="24"/>
          <w:lang w:val="gl-ES"/>
        </w:rPr>
      </w:pPr>
    </w:p>
    <w:p w:rsidR="00822E72" w:rsidRDefault="00822E72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Mulleres en activo. Datos en miles.</w:t>
      </w:r>
    </w:p>
    <w:tbl>
      <w:tblPr>
        <w:tblStyle w:val="Sombreadoclaro-nfasis4"/>
        <w:tblW w:w="9540" w:type="dxa"/>
        <w:tblLook w:val="04A0"/>
      </w:tblPr>
      <w:tblGrid>
        <w:gridCol w:w="3530"/>
        <w:gridCol w:w="1198"/>
        <w:gridCol w:w="1198"/>
        <w:gridCol w:w="1198"/>
        <w:gridCol w:w="1118"/>
        <w:gridCol w:w="1298"/>
      </w:tblGrid>
      <w:tr w:rsidR="00AF48DA" w:rsidRPr="00AF48DA" w:rsidTr="00AF48DA">
        <w:trPr>
          <w:cnfStyle w:val="100000000000"/>
          <w:trHeight w:val="300"/>
        </w:trPr>
        <w:tc>
          <w:tcPr>
            <w:cnfStyle w:val="001000000000"/>
            <w:tcW w:w="3530" w:type="dxa"/>
            <w:hideMark/>
          </w:tcPr>
          <w:p w:rsidR="00AF48DA" w:rsidRPr="00AF48DA" w:rsidRDefault="00AF48DA" w:rsidP="00AF48DA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</w:p>
        </w:tc>
        <w:tc>
          <w:tcPr>
            <w:tcW w:w="3594" w:type="dxa"/>
            <w:gridSpan w:val="3"/>
            <w:hideMark/>
          </w:tcPr>
          <w:p w:rsidR="00AF48DA" w:rsidRPr="00AF48DA" w:rsidRDefault="00AF48DA" w:rsidP="00AF48D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AF48DA">
              <w:rPr>
                <w:rFonts w:ascii="Calibri" w:eastAsia="Times New Roman" w:hAnsi="Calibri" w:cs="Times New Roman"/>
                <w:color w:val="000000"/>
                <w:lang w:val="gl-ES"/>
              </w:rPr>
              <w:t>Mulleres</w:t>
            </w:r>
          </w:p>
        </w:tc>
        <w:tc>
          <w:tcPr>
            <w:tcW w:w="2416" w:type="dxa"/>
            <w:gridSpan w:val="2"/>
            <w:noWrap/>
            <w:hideMark/>
          </w:tcPr>
          <w:p w:rsidR="00AF48DA" w:rsidRPr="00AF48DA" w:rsidRDefault="00AF48DA" w:rsidP="00AF48D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AF48DA">
              <w:rPr>
                <w:rFonts w:ascii="Calibri" w:eastAsia="Times New Roman" w:hAnsi="Calibri" w:cs="Times New Roman"/>
                <w:color w:val="000000"/>
                <w:lang w:val="gl-ES"/>
              </w:rPr>
              <w:t>Variación</w:t>
            </w:r>
          </w:p>
        </w:tc>
      </w:tr>
      <w:tr w:rsidR="00AF48DA" w:rsidRPr="00AF48DA" w:rsidTr="00AF48DA">
        <w:trPr>
          <w:cnfStyle w:val="000000100000"/>
          <w:trHeight w:val="300"/>
        </w:trPr>
        <w:tc>
          <w:tcPr>
            <w:cnfStyle w:val="001000000000"/>
            <w:tcW w:w="3530" w:type="dxa"/>
            <w:hideMark/>
          </w:tcPr>
          <w:p w:rsidR="00AF48DA" w:rsidRPr="00AF48DA" w:rsidRDefault="00AF48DA" w:rsidP="00AF48DA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</w:p>
        </w:tc>
        <w:tc>
          <w:tcPr>
            <w:tcW w:w="1198" w:type="dxa"/>
            <w:hideMark/>
          </w:tcPr>
          <w:p w:rsidR="00AF48DA" w:rsidRPr="00AF48DA" w:rsidRDefault="00AF48DA" w:rsidP="00AF48DA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</w:pPr>
            <w:r w:rsidRPr="00AF48DA"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  <w:t>2008</w:t>
            </w:r>
          </w:p>
        </w:tc>
        <w:tc>
          <w:tcPr>
            <w:tcW w:w="1198" w:type="dxa"/>
            <w:hideMark/>
          </w:tcPr>
          <w:p w:rsidR="00AF48DA" w:rsidRPr="00AF48DA" w:rsidRDefault="00AF48DA" w:rsidP="00AF48DA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</w:pPr>
            <w:r w:rsidRPr="00AF48DA"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  <w:t>2016</w:t>
            </w:r>
          </w:p>
        </w:tc>
        <w:tc>
          <w:tcPr>
            <w:tcW w:w="1198" w:type="dxa"/>
            <w:hideMark/>
          </w:tcPr>
          <w:p w:rsidR="00AF48DA" w:rsidRPr="00AF48DA" w:rsidRDefault="00AF48DA" w:rsidP="00AF48DA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</w:pPr>
            <w:r w:rsidRPr="00AF48DA"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  <w:t>2017</w:t>
            </w:r>
          </w:p>
        </w:tc>
        <w:tc>
          <w:tcPr>
            <w:tcW w:w="1118" w:type="dxa"/>
            <w:noWrap/>
            <w:hideMark/>
          </w:tcPr>
          <w:p w:rsidR="00AF48DA" w:rsidRPr="00AF48DA" w:rsidRDefault="00AF48DA" w:rsidP="00AF48DA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AF48DA">
              <w:rPr>
                <w:rFonts w:ascii="Calibri" w:eastAsia="Times New Roman" w:hAnsi="Calibri" w:cs="Times New Roman"/>
                <w:color w:val="000000"/>
                <w:lang w:val="gl-ES"/>
              </w:rPr>
              <w:t>17/16</w:t>
            </w:r>
          </w:p>
        </w:tc>
        <w:tc>
          <w:tcPr>
            <w:tcW w:w="1298" w:type="dxa"/>
            <w:noWrap/>
            <w:hideMark/>
          </w:tcPr>
          <w:p w:rsidR="00AF48DA" w:rsidRPr="00AF48DA" w:rsidRDefault="00AF48DA" w:rsidP="00AF48DA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AF48DA">
              <w:rPr>
                <w:rFonts w:ascii="Calibri" w:eastAsia="Times New Roman" w:hAnsi="Calibri" w:cs="Times New Roman"/>
                <w:color w:val="000000"/>
                <w:lang w:val="gl-ES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>/08</w:t>
            </w:r>
          </w:p>
        </w:tc>
      </w:tr>
      <w:tr w:rsidR="00AF48DA" w:rsidRPr="00AF48DA" w:rsidTr="00AF48DA">
        <w:trPr>
          <w:trHeight w:val="300"/>
        </w:trPr>
        <w:tc>
          <w:tcPr>
            <w:cnfStyle w:val="001000000000"/>
            <w:tcW w:w="3530" w:type="dxa"/>
            <w:hideMark/>
          </w:tcPr>
          <w:p w:rsidR="00AF48DA" w:rsidRPr="00AF48DA" w:rsidRDefault="00AF48DA" w:rsidP="00AF48DA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AF48DA">
              <w:rPr>
                <w:rFonts w:ascii="Calibri" w:eastAsia="Times New Roman" w:hAnsi="Calibri" w:cs="Times New Roman"/>
                <w:color w:val="000000"/>
                <w:lang w:val="gl-ES"/>
              </w:rPr>
              <w:t>Total</w:t>
            </w:r>
          </w:p>
        </w:tc>
        <w:tc>
          <w:tcPr>
            <w:tcW w:w="1198" w:type="dxa"/>
            <w:hideMark/>
          </w:tcPr>
          <w:p w:rsidR="00AF48DA" w:rsidRPr="00AF48DA" w:rsidRDefault="00AF48DA" w:rsidP="00AF48DA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AF48DA">
              <w:rPr>
                <w:rFonts w:ascii="Calibri" w:eastAsia="Times New Roman" w:hAnsi="Calibri" w:cs="Times New Roman"/>
                <w:color w:val="000000"/>
                <w:lang w:val="gl-ES"/>
              </w:rPr>
              <w:t>589,1</w:t>
            </w:r>
          </w:p>
        </w:tc>
        <w:tc>
          <w:tcPr>
            <w:tcW w:w="1198" w:type="dxa"/>
            <w:hideMark/>
          </w:tcPr>
          <w:p w:rsidR="00AF48DA" w:rsidRPr="00AF48DA" w:rsidRDefault="00AF48DA" w:rsidP="00AF48DA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AF48DA">
              <w:rPr>
                <w:rFonts w:ascii="Calibri" w:eastAsia="Times New Roman" w:hAnsi="Calibri" w:cs="Times New Roman"/>
                <w:color w:val="000000"/>
                <w:lang w:val="gl-ES"/>
              </w:rPr>
              <w:t>598,3</w:t>
            </w:r>
          </w:p>
        </w:tc>
        <w:tc>
          <w:tcPr>
            <w:tcW w:w="1198" w:type="dxa"/>
            <w:hideMark/>
          </w:tcPr>
          <w:p w:rsidR="00AF48DA" w:rsidRPr="00AF48DA" w:rsidRDefault="00AF48DA" w:rsidP="00AF48DA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AF48DA">
              <w:rPr>
                <w:rFonts w:ascii="Calibri" w:eastAsia="Times New Roman" w:hAnsi="Calibri" w:cs="Times New Roman"/>
                <w:color w:val="000000"/>
                <w:lang w:val="gl-ES"/>
              </w:rPr>
              <w:t>599,7</w:t>
            </w:r>
          </w:p>
        </w:tc>
        <w:tc>
          <w:tcPr>
            <w:tcW w:w="1118" w:type="dxa"/>
            <w:noWrap/>
            <w:hideMark/>
          </w:tcPr>
          <w:p w:rsidR="00AF48DA" w:rsidRPr="00AF48DA" w:rsidRDefault="00AF48DA" w:rsidP="00AF48DA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AF48DA">
              <w:rPr>
                <w:rFonts w:ascii="Calibri" w:eastAsia="Times New Roman" w:hAnsi="Calibri" w:cs="Times New Roman"/>
                <w:color w:val="000000"/>
                <w:lang w:val="gl-ES"/>
              </w:rPr>
              <w:t>1,4</w:t>
            </w:r>
          </w:p>
        </w:tc>
        <w:tc>
          <w:tcPr>
            <w:tcW w:w="1298" w:type="dxa"/>
            <w:noWrap/>
            <w:hideMark/>
          </w:tcPr>
          <w:p w:rsidR="00AF48DA" w:rsidRPr="00AF48DA" w:rsidRDefault="00AF48DA" w:rsidP="00AF48DA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AF48DA">
              <w:rPr>
                <w:rFonts w:ascii="Calibri" w:eastAsia="Times New Roman" w:hAnsi="Calibri" w:cs="Times New Roman"/>
                <w:color w:val="000000"/>
                <w:lang w:val="gl-ES"/>
              </w:rPr>
              <w:t>10,6</w:t>
            </w:r>
          </w:p>
        </w:tc>
      </w:tr>
      <w:tr w:rsidR="00AF48DA" w:rsidRPr="00AF48DA" w:rsidTr="00AF48DA">
        <w:trPr>
          <w:cnfStyle w:val="000000100000"/>
          <w:trHeight w:val="300"/>
        </w:trPr>
        <w:tc>
          <w:tcPr>
            <w:cnfStyle w:val="001000000000"/>
            <w:tcW w:w="3530" w:type="dxa"/>
            <w:hideMark/>
          </w:tcPr>
          <w:p w:rsidR="00AF48DA" w:rsidRPr="00AF48DA" w:rsidRDefault="00AF48DA" w:rsidP="00AF48DA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AF48DA">
              <w:rPr>
                <w:rFonts w:ascii="Calibri" w:eastAsia="Times New Roman" w:hAnsi="Calibri" w:cs="Times New Roman"/>
                <w:color w:val="000000"/>
                <w:lang w:val="gl-ES"/>
              </w:rPr>
              <w:t>de 16 a 24 anos</w:t>
            </w:r>
          </w:p>
        </w:tc>
        <w:tc>
          <w:tcPr>
            <w:tcW w:w="1198" w:type="dxa"/>
            <w:hideMark/>
          </w:tcPr>
          <w:p w:rsidR="00AF48DA" w:rsidRPr="00AF48DA" w:rsidRDefault="00AF48DA" w:rsidP="00AF48DA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AF48DA">
              <w:rPr>
                <w:rFonts w:ascii="Calibri" w:eastAsia="Times New Roman" w:hAnsi="Calibri" w:cs="Times New Roman"/>
                <w:color w:val="000000"/>
                <w:lang w:val="gl-ES"/>
              </w:rPr>
              <w:t>46,3</w:t>
            </w:r>
          </w:p>
        </w:tc>
        <w:tc>
          <w:tcPr>
            <w:tcW w:w="1198" w:type="dxa"/>
            <w:hideMark/>
          </w:tcPr>
          <w:p w:rsidR="00AF48DA" w:rsidRPr="00AF48DA" w:rsidRDefault="00AF48DA" w:rsidP="00AF48DA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AF48DA">
              <w:rPr>
                <w:rFonts w:ascii="Calibri" w:eastAsia="Times New Roman" w:hAnsi="Calibri" w:cs="Times New Roman"/>
                <w:color w:val="000000"/>
                <w:lang w:val="gl-ES"/>
              </w:rPr>
              <w:t>28,1</w:t>
            </w:r>
          </w:p>
        </w:tc>
        <w:tc>
          <w:tcPr>
            <w:tcW w:w="1198" w:type="dxa"/>
            <w:hideMark/>
          </w:tcPr>
          <w:p w:rsidR="00AF48DA" w:rsidRPr="00AF48DA" w:rsidRDefault="00AF48DA" w:rsidP="00AF48DA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AF48DA">
              <w:rPr>
                <w:rFonts w:ascii="Calibri" w:eastAsia="Times New Roman" w:hAnsi="Calibri" w:cs="Times New Roman"/>
                <w:color w:val="000000"/>
                <w:lang w:val="gl-ES"/>
              </w:rPr>
              <w:t>28,6</w:t>
            </w:r>
          </w:p>
        </w:tc>
        <w:tc>
          <w:tcPr>
            <w:tcW w:w="1118" w:type="dxa"/>
            <w:noWrap/>
            <w:hideMark/>
          </w:tcPr>
          <w:p w:rsidR="00AF48DA" w:rsidRPr="00AF48DA" w:rsidRDefault="00AF48DA" w:rsidP="00AF48DA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AF48DA">
              <w:rPr>
                <w:rFonts w:ascii="Calibri" w:eastAsia="Times New Roman" w:hAnsi="Calibri" w:cs="Times New Roman"/>
                <w:color w:val="000000"/>
                <w:lang w:val="gl-ES"/>
              </w:rPr>
              <w:t>0,5</w:t>
            </w:r>
          </w:p>
        </w:tc>
        <w:tc>
          <w:tcPr>
            <w:tcW w:w="1298" w:type="dxa"/>
            <w:noWrap/>
            <w:hideMark/>
          </w:tcPr>
          <w:p w:rsidR="00AF48DA" w:rsidRPr="00AF48DA" w:rsidRDefault="00AF48DA" w:rsidP="00AF48DA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AF48DA">
              <w:rPr>
                <w:rFonts w:ascii="Calibri" w:eastAsia="Times New Roman" w:hAnsi="Calibri" w:cs="Times New Roman"/>
                <w:color w:val="000000"/>
                <w:lang w:val="gl-ES"/>
              </w:rPr>
              <w:t>-17,7</w:t>
            </w:r>
          </w:p>
        </w:tc>
      </w:tr>
      <w:tr w:rsidR="00AF48DA" w:rsidRPr="00AF48DA" w:rsidTr="00AF48DA">
        <w:trPr>
          <w:trHeight w:val="300"/>
        </w:trPr>
        <w:tc>
          <w:tcPr>
            <w:cnfStyle w:val="001000000000"/>
            <w:tcW w:w="3530" w:type="dxa"/>
            <w:hideMark/>
          </w:tcPr>
          <w:p w:rsidR="00AF48DA" w:rsidRPr="00AF48DA" w:rsidRDefault="00AF48DA" w:rsidP="00AF48DA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AF48DA">
              <w:rPr>
                <w:rFonts w:ascii="Calibri" w:eastAsia="Times New Roman" w:hAnsi="Calibri" w:cs="Times New Roman"/>
                <w:color w:val="000000"/>
                <w:lang w:val="gl-ES"/>
              </w:rPr>
              <w:t>de 25 a 54 anos</w:t>
            </w:r>
          </w:p>
        </w:tc>
        <w:tc>
          <w:tcPr>
            <w:tcW w:w="1198" w:type="dxa"/>
            <w:hideMark/>
          </w:tcPr>
          <w:p w:rsidR="00AF48DA" w:rsidRPr="00AF48DA" w:rsidRDefault="00AF48DA" w:rsidP="00AF48DA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AF48DA">
              <w:rPr>
                <w:rFonts w:ascii="Calibri" w:eastAsia="Times New Roman" w:hAnsi="Calibri" w:cs="Times New Roman"/>
                <w:color w:val="000000"/>
                <w:lang w:val="gl-ES"/>
              </w:rPr>
              <w:t>472,3</w:t>
            </w:r>
          </w:p>
        </w:tc>
        <w:tc>
          <w:tcPr>
            <w:tcW w:w="1198" w:type="dxa"/>
            <w:hideMark/>
          </w:tcPr>
          <w:p w:rsidR="00AF48DA" w:rsidRPr="00AF48DA" w:rsidRDefault="00AF48DA" w:rsidP="00AF48DA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AF48DA">
              <w:rPr>
                <w:rFonts w:ascii="Calibri" w:eastAsia="Times New Roman" w:hAnsi="Calibri" w:cs="Times New Roman"/>
                <w:color w:val="000000"/>
                <w:lang w:val="gl-ES"/>
              </w:rPr>
              <w:t>467,7</w:t>
            </w:r>
          </w:p>
        </w:tc>
        <w:tc>
          <w:tcPr>
            <w:tcW w:w="1198" w:type="dxa"/>
            <w:hideMark/>
          </w:tcPr>
          <w:p w:rsidR="00AF48DA" w:rsidRPr="00AF48DA" w:rsidRDefault="00AF48DA" w:rsidP="00AF48DA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AF48DA">
              <w:rPr>
                <w:rFonts w:ascii="Calibri" w:eastAsia="Times New Roman" w:hAnsi="Calibri" w:cs="Times New Roman"/>
                <w:color w:val="000000"/>
                <w:lang w:val="gl-ES"/>
              </w:rPr>
              <w:t>463,4</w:t>
            </w:r>
          </w:p>
        </w:tc>
        <w:tc>
          <w:tcPr>
            <w:tcW w:w="1118" w:type="dxa"/>
            <w:noWrap/>
            <w:hideMark/>
          </w:tcPr>
          <w:p w:rsidR="00AF48DA" w:rsidRPr="00AF48DA" w:rsidRDefault="00AF48DA" w:rsidP="00AF48DA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AF48DA">
              <w:rPr>
                <w:rFonts w:ascii="Calibri" w:eastAsia="Times New Roman" w:hAnsi="Calibri" w:cs="Times New Roman"/>
                <w:color w:val="000000"/>
                <w:lang w:val="gl-ES"/>
              </w:rPr>
              <w:t>-4,3</w:t>
            </w:r>
          </w:p>
        </w:tc>
        <w:tc>
          <w:tcPr>
            <w:tcW w:w="1298" w:type="dxa"/>
            <w:noWrap/>
            <w:hideMark/>
          </w:tcPr>
          <w:p w:rsidR="00AF48DA" w:rsidRPr="00AF48DA" w:rsidRDefault="00AF48DA" w:rsidP="00AF48DA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AF48DA">
              <w:rPr>
                <w:rFonts w:ascii="Calibri" w:eastAsia="Times New Roman" w:hAnsi="Calibri" w:cs="Times New Roman"/>
                <w:color w:val="000000"/>
                <w:lang w:val="gl-ES"/>
              </w:rPr>
              <w:t>-8,9</w:t>
            </w:r>
          </w:p>
        </w:tc>
      </w:tr>
      <w:tr w:rsidR="00AF48DA" w:rsidRPr="00AF48DA" w:rsidTr="00AF48DA">
        <w:trPr>
          <w:cnfStyle w:val="000000100000"/>
          <w:trHeight w:val="300"/>
        </w:trPr>
        <w:tc>
          <w:tcPr>
            <w:cnfStyle w:val="001000000000"/>
            <w:tcW w:w="3530" w:type="dxa"/>
            <w:hideMark/>
          </w:tcPr>
          <w:p w:rsidR="00AF48DA" w:rsidRPr="00AF48DA" w:rsidRDefault="00AF48DA" w:rsidP="00AF48DA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AF48DA">
              <w:rPr>
                <w:rFonts w:ascii="Calibri" w:eastAsia="Times New Roman" w:hAnsi="Calibri" w:cs="Times New Roman"/>
                <w:color w:val="000000"/>
                <w:lang w:val="gl-ES"/>
              </w:rPr>
              <w:t>de 55 e máis anos</w:t>
            </w:r>
          </w:p>
        </w:tc>
        <w:tc>
          <w:tcPr>
            <w:tcW w:w="1198" w:type="dxa"/>
            <w:hideMark/>
          </w:tcPr>
          <w:p w:rsidR="00AF48DA" w:rsidRPr="00AF48DA" w:rsidRDefault="00AF48DA" w:rsidP="00AF48DA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AF48DA">
              <w:rPr>
                <w:rFonts w:ascii="Calibri" w:eastAsia="Times New Roman" w:hAnsi="Calibri" w:cs="Times New Roman"/>
                <w:color w:val="000000"/>
                <w:lang w:val="gl-ES"/>
              </w:rPr>
              <w:t>70,6</w:t>
            </w:r>
          </w:p>
        </w:tc>
        <w:tc>
          <w:tcPr>
            <w:tcW w:w="1198" w:type="dxa"/>
            <w:hideMark/>
          </w:tcPr>
          <w:p w:rsidR="00AF48DA" w:rsidRPr="00AF48DA" w:rsidRDefault="00AF48DA" w:rsidP="00AF48DA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AF48DA">
              <w:rPr>
                <w:rFonts w:ascii="Calibri" w:eastAsia="Times New Roman" w:hAnsi="Calibri" w:cs="Times New Roman"/>
                <w:color w:val="000000"/>
                <w:lang w:val="gl-ES"/>
              </w:rPr>
              <w:t>102,5</w:t>
            </w:r>
          </w:p>
        </w:tc>
        <w:tc>
          <w:tcPr>
            <w:tcW w:w="1198" w:type="dxa"/>
            <w:hideMark/>
          </w:tcPr>
          <w:p w:rsidR="00AF48DA" w:rsidRPr="00AF48DA" w:rsidRDefault="00AF48DA" w:rsidP="00AF48DA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AF48DA">
              <w:rPr>
                <w:rFonts w:ascii="Calibri" w:eastAsia="Times New Roman" w:hAnsi="Calibri" w:cs="Times New Roman"/>
                <w:color w:val="000000"/>
                <w:lang w:val="gl-ES"/>
              </w:rPr>
              <w:t>107,7</w:t>
            </w:r>
          </w:p>
        </w:tc>
        <w:tc>
          <w:tcPr>
            <w:tcW w:w="1118" w:type="dxa"/>
            <w:noWrap/>
            <w:hideMark/>
          </w:tcPr>
          <w:p w:rsidR="00AF48DA" w:rsidRPr="00AF48DA" w:rsidRDefault="00AF48DA" w:rsidP="00AF48DA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AF48DA">
              <w:rPr>
                <w:rFonts w:ascii="Calibri" w:eastAsia="Times New Roman" w:hAnsi="Calibri" w:cs="Times New Roman"/>
                <w:color w:val="000000"/>
                <w:lang w:val="gl-ES"/>
              </w:rPr>
              <w:t>5,2</w:t>
            </w:r>
          </w:p>
        </w:tc>
        <w:tc>
          <w:tcPr>
            <w:tcW w:w="1298" w:type="dxa"/>
            <w:noWrap/>
            <w:hideMark/>
          </w:tcPr>
          <w:p w:rsidR="00AF48DA" w:rsidRPr="00AF48DA" w:rsidRDefault="00AF48DA" w:rsidP="00AF48DA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AF48DA">
              <w:rPr>
                <w:rFonts w:ascii="Calibri" w:eastAsia="Times New Roman" w:hAnsi="Calibri" w:cs="Times New Roman"/>
                <w:color w:val="000000"/>
                <w:lang w:val="gl-ES"/>
              </w:rPr>
              <w:t>37,1</w:t>
            </w:r>
          </w:p>
        </w:tc>
      </w:tr>
    </w:tbl>
    <w:p w:rsidR="00AF48DA" w:rsidRPr="004E08C4" w:rsidRDefault="00AF48DA" w:rsidP="00AF48DA">
      <w:pPr>
        <w:jc w:val="both"/>
        <w:rPr>
          <w:rFonts w:ascii="Arial" w:hAnsi="Arial" w:cs="Arial"/>
          <w:i/>
          <w:sz w:val="24"/>
          <w:szCs w:val="24"/>
          <w:lang w:val="gl-ES"/>
        </w:rPr>
      </w:pPr>
      <w:r w:rsidRPr="004E08C4">
        <w:rPr>
          <w:rFonts w:ascii="Arial" w:hAnsi="Arial" w:cs="Arial"/>
          <w:i/>
          <w:sz w:val="24"/>
          <w:szCs w:val="24"/>
          <w:lang w:val="gl-ES"/>
        </w:rPr>
        <w:t>Fonte: EPA. INE</w:t>
      </w:r>
    </w:p>
    <w:p w:rsidR="0060656E" w:rsidRDefault="00B773B0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Tanto con respecto a 2016 como a 2008 aumenta a poboación activa feminina. </w:t>
      </w:r>
      <w:r w:rsidR="00DF4EF8">
        <w:rPr>
          <w:rFonts w:ascii="Arial" w:hAnsi="Arial" w:cs="Arial"/>
          <w:sz w:val="24"/>
          <w:szCs w:val="24"/>
          <w:lang w:val="gl-ES"/>
        </w:rPr>
        <w:t>Malia que en</w:t>
      </w:r>
      <w:r w:rsidR="006D09C9">
        <w:rPr>
          <w:rFonts w:ascii="Arial" w:hAnsi="Arial" w:cs="Arial"/>
          <w:sz w:val="24"/>
          <w:szCs w:val="24"/>
          <w:lang w:val="gl-ES"/>
        </w:rPr>
        <w:t xml:space="preserve"> conxunto medra, </w:t>
      </w:r>
      <w:r>
        <w:rPr>
          <w:rFonts w:ascii="Arial" w:hAnsi="Arial" w:cs="Arial"/>
          <w:sz w:val="24"/>
          <w:szCs w:val="24"/>
          <w:lang w:val="gl-ES"/>
        </w:rPr>
        <w:t xml:space="preserve">a desagregación por idades mostrar tendencias dispares: </w:t>
      </w:r>
      <w:r w:rsidR="00EE5633">
        <w:rPr>
          <w:rFonts w:ascii="Arial" w:hAnsi="Arial" w:cs="Arial"/>
          <w:sz w:val="24"/>
          <w:szCs w:val="24"/>
          <w:lang w:val="gl-ES"/>
        </w:rPr>
        <w:t xml:space="preserve">entre as menores de 25 anos </w:t>
      </w:r>
      <w:r>
        <w:rPr>
          <w:rFonts w:ascii="Arial" w:hAnsi="Arial" w:cs="Arial"/>
          <w:sz w:val="24"/>
          <w:szCs w:val="24"/>
          <w:lang w:val="gl-ES"/>
        </w:rPr>
        <w:t xml:space="preserve">estímase que se reduciron </w:t>
      </w:r>
      <w:r w:rsidR="00EE5633">
        <w:rPr>
          <w:rFonts w:ascii="Arial" w:hAnsi="Arial" w:cs="Arial"/>
          <w:sz w:val="24"/>
          <w:szCs w:val="24"/>
          <w:lang w:val="gl-ES"/>
        </w:rPr>
        <w:t>en 17.700 mulleres</w:t>
      </w:r>
      <w:r>
        <w:rPr>
          <w:rFonts w:ascii="Arial" w:hAnsi="Arial" w:cs="Arial"/>
          <w:sz w:val="24"/>
          <w:szCs w:val="24"/>
          <w:lang w:val="gl-ES"/>
        </w:rPr>
        <w:t xml:space="preserve"> con respecto a 2008</w:t>
      </w:r>
      <w:r w:rsidR="00DF4EF8">
        <w:rPr>
          <w:rFonts w:ascii="Arial" w:hAnsi="Arial" w:cs="Arial"/>
          <w:sz w:val="24"/>
          <w:szCs w:val="24"/>
          <w:lang w:val="gl-ES"/>
        </w:rPr>
        <w:t>;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 w:rsidR="00EE5633">
        <w:rPr>
          <w:rFonts w:ascii="Arial" w:hAnsi="Arial" w:cs="Arial"/>
          <w:sz w:val="24"/>
          <w:szCs w:val="24"/>
          <w:lang w:val="gl-ES"/>
        </w:rPr>
        <w:t xml:space="preserve">tamén entre </w:t>
      </w:r>
      <w:r>
        <w:rPr>
          <w:rFonts w:ascii="Arial" w:hAnsi="Arial" w:cs="Arial"/>
          <w:sz w:val="24"/>
          <w:szCs w:val="24"/>
          <w:lang w:val="gl-ES"/>
        </w:rPr>
        <w:t>o</w:t>
      </w:r>
      <w:r w:rsidR="00EE5633">
        <w:rPr>
          <w:rFonts w:ascii="Arial" w:hAnsi="Arial" w:cs="Arial"/>
          <w:sz w:val="24"/>
          <w:szCs w:val="24"/>
          <w:lang w:val="gl-ES"/>
        </w:rPr>
        <w:t>s 25 e os</w:t>
      </w:r>
      <w:r w:rsidR="00DF4EF8">
        <w:rPr>
          <w:rFonts w:ascii="Arial" w:hAnsi="Arial" w:cs="Arial"/>
          <w:sz w:val="24"/>
          <w:szCs w:val="24"/>
          <w:lang w:val="gl-ES"/>
        </w:rPr>
        <w:t xml:space="preserve"> 54 anos se produciu unha caída. N</w:t>
      </w:r>
      <w:r w:rsidR="00EE5633">
        <w:rPr>
          <w:rFonts w:ascii="Arial" w:hAnsi="Arial" w:cs="Arial"/>
          <w:sz w:val="24"/>
          <w:szCs w:val="24"/>
          <w:lang w:val="gl-ES"/>
        </w:rPr>
        <w:t>este caso afectou a 8.900</w:t>
      </w:r>
      <w:r w:rsidR="00B91C1B">
        <w:rPr>
          <w:rFonts w:ascii="Arial" w:hAnsi="Arial" w:cs="Arial"/>
          <w:sz w:val="24"/>
          <w:szCs w:val="24"/>
          <w:lang w:val="gl-ES"/>
        </w:rPr>
        <w:t xml:space="preserve"> mulleres</w:t>
      </w:r>
      <w:r w:rsidR="00DF4EF8">
        <w:rPr>
          <w:rFonts w:ascii="Arial" w:hAnsi="Arial" w:cs="Arial"/>
          <w:sz w:val="24"/>
          <w:szCs w:val="24"/>
          <w:lang w:val="gl-ES"/>
        </w:rPr>
        <w:t>. E só</w:t>
      </w:r>
      <w:r w:rsidR="00EE5633">
        <w:rPr>
          <w:rFonts w:ascii="Arial" w:hAnsi="Arial" w:cs="Arial"/>
          <w:sz w:val="24"/>
          <w:szCs w:val="24"/>
          <w:lang w:val="gl-ES"/>
        </w:rPr>
        <w:t xml:space="preserve"> medrou no grupo de máis de 55 anos, entre as que se estiman 37.100 máis</w:t>
      </w:r>
      <w:r w:rsidR="00DF4EF8">
        <w:rPr>
          <w:rFonts w:ascii="Arial" w:hAnsi="Arial" w:cs="Arial"/>
          <w:sz w:val="24"/>
          <w:szCs w:val="24"/>
          <w:lang w:val="gl-ES"/>
        </w:rPr>
        <w:t>,</w:t>
      </w:r>
      <w:r>
        <w:rPr>
          <w:rFonts w:ascii="Arial" w:hAnsi="Arial" w:cs="Arial"/>
          <w:sz w:val="24"/>
          <w:szCs w:val="24"/>
          <w:lang w:val="gl-ES"/>
        </w:rPr>
        <w:t xml:space="preserve"> polo que se produce un</w:t>
      </w:r>
      <w:r w:rsidR="00EE5633">
        <w:rPr>
          <w:rFonts w:ascii="Arial" w:hAnsi="Arial" w:cs="Arial"/>
          <w:sz w:val="24"/>
          <w:szCs w:val="24"/>
          <w:lang w:val="gl-ES"/>
        </w:rPr>
        <w:t xml:space="preserve"> forte avellentamento da poboación activa feminina </w:t>
      </w:r>
      <w:r>
        <w:rPr>
          <w:rFonts w:ascii="Arial" w:hAnsi="Arial" w:cs="Arial"/>
          <w:sz w:val="24"/>
          <w:szCs w:val="24"/>
          <w:lang w:val="gl-ES"/>
        </w:rPr>
        <w:t>neste período</w:t>
      </w:r>
      <w:r w:rsidR="00DF4EF8">
        <w:rPr>
          <w:rFonts w:ascii="Arial" w:hAnsi="Arial" w:cs="Arial"/>
          <w:sz w:val="24"/>
          <w:szCs w:val="24"/>
          <w:lang w:val="gl-ES"/>
        </w:rPr>
        <w:t>. N</w:t>
      </w:r>
      <w:r w:rsidR="00B91C1B">
        <w:rPr>
          <w:rFonts w:ascii="Arial" w:hAnsi="Arial" w:cs="Arial"/>
          <w:sz w:val="24"/>
          <w:szCs w:val="24"/>
          <w:lang w:val="gl-ES"/>
        </w:rPr>
        <w:t>o ano 2008 as mulleres en activo maiores de 55 anos alcanz</w:t>
      </w:r>
      <w:r w:rsidR="00DF4EF8">
        <w:rPr>
          <w:rFonts w:ascii="Arial" w:hAnsi="Arial" w:cs="Arial"/>
          <w:sz w:val="24"/>
          <w:szCs w:val="24"/>
          <w:lang w:val="gl-ES"/>
        </w:rPr>
        <w:t>aban o 12% do total das activas; no ano 2017 son o 18%, 6 puntos máis. P</w:t>
      </w:r>
      <w:r w:rsidR="0060656E">
        <w:rPr>
          <w:rFonts w:ascii="Arial" w:hAnsi="Arial" w:cs="Arial"/>
          <w:sz w:val="24"/>
          <w:szCs w:val="24"/>
          <w:lang w:val="gl-ES"/>
        </w:rPr>
        <w:t>ola contra</w:t>
      </w:r>
      <w:r w:rsidR="00DF4EF8">
        <w:rPr>
          <w:rFonts w:ascii="Arial" w:hAnsi="Arial" w:cs="Arial"/>
          <w:sz w:val="24"/>
          <w:szCs w:val="24"/>
          <w:lang w:val="gl-ES"/>
        </w:rPr>
        <w:t>,</w:t>
      </w:r>
      <w:r w:rsidR="0060656E">
        <w:rPr>
          <w:rFonts w:ascii="Arial" w:hAnsi="Arial" w:cs="Arial"/>
          <w:sz w:val="24"/>
          <w:szCs w:val="24"/>
          <w:lang w:val="gl-ES"/>
        </w:rPr>
        <w:t xml:space="preserve"> as menores de 25 anos pasaron de representar o 7,8% do total</w:t>
      </w:r>
      <w:r w:rsidR="004E08C4">
        <w:rPr>
          <w:rFonts w:ascii="Arial" w:hAnsi="Arial" w:cs="Arial"/>
          <w:sz w:val="24"/>
          <w:szCs w:val="24"/>
          <w:lang w:val="gl-ES"/>
        </w:rPr>
        <w:t xml:space="preserve"> ao </w:t>
      </w:r>
      <w:r w:rsidR="0060656E">
        <w:rPr>
          <w:rFonts w:ascii="Arial" w:hAnsi="Arial" w:cs="Arial"/>
          <w:sz w:val="24"/>
          <w:szCs w:val="24"/>
          <w:lang w:val="gl-ES"/>
        </w:rPr>
        <w:t>4,7%.</w:t>
      </w:r>
    </w:p>
    <w:p w:rsidR="00EE5633" w:rsidRDefault="006213DF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No ultimo ano medrou lixeiramente a poboación activa entre as máis novas, 500 máis, pero entre o grupo central, de 25 a 55</w:t>
      </w:r>
      <w:r w:rsidR="00B773B0">
        <w:rPr>
          <w:rFonts w:ascii="Arial" w:hAnsi="Arial" w:cs="Arial"/>
          <w:sz w:val="24"/>
          <w:szCs w:val="24"/>
          <w:lang w:val="gl-ES"/>
        </w:rPr>
        <w:t xml:space="preserve"> anos</w:t>
      </w:r>
      <w:r>
        <w:rPr>
          <w:rFonts w:ascii="Arial" w:hAnsi="Arial" w:cs="Arial"/>
          <w:sz w:val="24"/>
          <w:szCs w:val="24"/>
          <w:lang w:val="gl-ES"/>
        </w:rPr>
        <w:t>, continuou a c</w:t>
      </w:r>
      <w:r w:rsidR="00B773B0">
        <w:rPr>
          <w:rFonts w:ascii="Arial" w:hAnsi="Arial" w:cs="Arial"/>
          <w:sz w:val="24"/>
          <w:szCs w:val="24"/>
          <w:lang w:val="gl-ES"/>
        </w:rPr>
        <w:t>aída, concretamente 4.300 menos, e medrou entre as de máis 55 anos.</w:t>
      </w:r>
    </w:p>
    <w:p w:rsidR="006213DF" w:rsidRDefault="00635009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Esta caída da poboación activa nova empeorou nos últimos anos</w:t>
      </w:r>
      <w:r w:rsidR="004E08C4">
        <w:rPr>
          <w:rFonts w:ascii="Arial" w:hAnsi="Arial" w:cs="Arial"/>
          <w:sz w:val="24"/>
          <w:szCs w:val="24"/>
          <w:lang w:val="gl-ES"/>
        </w:rPr>
        <w:t xml:space="preserve"> ao </w:t>
      </w:r>
      <w:r>
        <w:rPr>
          <w:rFonts w:ascii="Arial" w:hAnsi="Arial" w:cs="Arial"/>
          <w:sz w:val="24"/>
          <w:szCs w:val="24"/>
          <w:lang w:val="gl-ES"/>
        </w:rPr>
        <w:t xml:space="preserve">sumarse </w:t>
      </w:r>
      <w:r w:rsidR="00DF4EF8">
        <w:rPr>
          <w:rFonts w:ascii="Arial" w:hAnsi="Arial" w:cs="Arial"/>
          <w:sz w:val="24"/>
          <w:szCs w:val="24"/>
          <w:lang w:val="gl-ES"/>
        </w:rPr>
        <w:t>ao</w:t>
      </w:r>
      <w:r>
        <w:rPr>
          <w:rFonts w:ascii="Arial" w:hAnsi="Arial" w:cs="Arial"/>
          <w:sz w:val="24"/>
          <w:szCs w:val="24"/>
          <w:lang w:val="gl-ES"/>
        </w:rPr>
        <w:t>s</w:t>
      </w:r>
      <w:r w:rsidR="006213DF">
        <w:rPr>
          <w:rFonts w:ascii="Arial" w:hAnsi="Arial" w:cs="Arial"/>
          <w:sz w:val="24"/>
          <w:szCs w:val="24"/>
          <w:lang w:val="gl-ES"/>
        </w:rPr>
        <w:t xml:space="preserve"> problemas demográficos que sofre G</w:t>
      </w:r>
      <w:r w:rsidR="00B533CD">
        <w:rPr>
          <w:rFonts w:ascii="Arial" w:hAnsi="Arial" w:cs="Arial"/>
          <w:sz w:val="24"/>
          <w:szCs w:val="24"/>
          <w:lang w:val="gl-ES"/>
        </w:rPr>
        <w:t>aliza</w:t>
      </w:r>
      <w:r w:rsidR="006213DF">
        <w:rPr>
          <w:rFonts w:ascii="Arial" w:hAnsi="Arial" w:cs="Arial"/>
          <w:sz w:val="24"/>
          <w:szCs w:val="24"/>
          <w:lang w:val="gl-ES"/>
        </w:rPr>
        <w:t xml:space="preserve"> </w:t>
      </w:r>
      <w:r>
        <w:rPr>
          <w:rFonts w:ascii="Arial" w:hAnsi="Arial" w:cs="Arial"/>
          <w:sz w:val="24"/>
          <w:szCs w:val="24"/>
          <w:lang w:val="gl-ES"/>
        </w:rPr>
        <w:t>a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 w:rsidR="006213DF">
        <w:rPr>
          <w:rFonts w:ascii="Arial" w:hAnsi="Arial" w:cs="Arial"/>
          <w:sz w:val="24"/>
          <w:szCs w:val="24"/>
          <w:lang w:val="gl-ES"/>
        </w:rPr>
        <w:t xml:space="preserve">emigración, co cal </w:t>
      </w:r>
      <w:r w:rsidR="00DF4EF8">
        <w:rPr>
          <w:rFonts w:ascii="Arial" w:hAnsi="Arial" w:cs="Arial"/>
          <w:sz w:val="24"/>
          <w:szCs w:val="24"/>
          <w:lang w:val="gl-ES"/>
        </w:rPr>
        <w:t>se está a agravar</w:t>
      </w:r>
      <w:r w:rsidR="006213DF">
        <w:rPr>
          <w:rFonts w:ascii="Arial" w:hAnsi="Arial" w:cs="Arial"/>
          <w:sz w:val="24"/>
          <w:szCs w:val="24"/>
          <w:lang w:val="gl-ES"/>
        </w:rPr>
        <w:t xml:space="preserve"> a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 w:rsidR="00DF4EF8">
        <w:rPr>
          <w:rFonts w:ascii="Arial" w:hAnsi="Arial" w:cs="Arial"/>
          <w:sz w:val="24"/>
          <w:szCs w:val="24"/>
          <w:lang w:val="gl-ES"/>
        </w:rPr>
        <w:t>situación. Se non se toman</w:t>
      </w:r>
      <w:r w:rsidR="006213DF">
        <w:rPr>
          <w:rFonts w:ascii="Arial" w:hAnsi="Arial" w:cs="Arial"/>
          <w:sz w:val="24"/>
          <w:szCs w:val="24"/>
          <w:lang w:val="gl-ES"/>
        </w:rPr>
        <w:t xml:space="preserve"> medidas nesta materia</w:t>
      </w:r>
      <w:r w:rsidR="00DF4EF8">
        <w:rPr>
          <w:rFonts w:ascii="Arial" w:hAnsi="Arial" w:cs="Arial"/>
          <w:sz w:val="24"/>
          <w:szCs w:val="24"/>
          <w:lang w:val="gl-ES"/>
        </w:rPr>
        <w:t>, Ga</w:t>
      </w:r>
      <w:r w:rsidR="006213DF">
        <w:rPr>
          <w:rFonts w:ascii="Arial" w:hAnsi="Arial" w:cs="Arial"/>
          <w:sz w:val="24"/>
          <w:szCs w:val="24"/>
          <w:lang w:val="gl-ES"/>
        </w:rPr>
        <w:t xml:space="preserve">liza </w:t>
      </w:r>
      <w:r w:rsidR="00DF4EF8">
        <w:rPr>
          <w:rFonts w:ascii="Arial" w:hAnsi="Arial" w:cs="Arial"/>
          <w:sz w:val="24"/>
          <w:szCs w:val="24"/>
          <w:lang w:val="gl-ES"/>
        </w:rPr>
        <w:t xml:space="preserve">ao poucos </w:t>
      </w:r>
      <w:r>
        <w:rPr>
          <w:rFonts w:ascii="Arial" w:hAnsi="Arial" w:cs="Arial"/>
          <w:sz w:val="24"/>
          <w:szCs w:val="24"/>
          <w:lang w:val="gl-ES"/>
        </w:rPr>
        <w:t>converter</w:t>
      </w:r>
      <w:r w:rsidR="00DF4EF8">
        <w:rPr>
          <w:rFonts w:ascii="Arial" w:hAnsi="Arial" w:cs="Arial"/>
          <w:sz w:val="24"/>
          <w:szCs w:val="24"/>
          <w:lang w:val="gl-ES"/>
        </w:rPr>
        <w:t>ase</w:t>
      </w:r>
      <w:r>
        <w:rPr>
          <w:rFonts w:ascii="Arial" w:hAnsi="Arial" w:cs="Arial"/>
          <w:sz w:val="24"/>
          <w:szCs w:val="24"/>
          <w:lang w:val="gl-ES"/>
        </w:rPr>
        <w:t xml:space="preserve"> </w:t>
      </w:r>
      <w:r w:rsidR="00DF4EF8">
        <w:rPr>
          <w:rFonts w:ascii="Arial" w:hAnsi="Arial" w:cs="Arial"/>
          <w:sz w:val="24"/>
          <w:szCs w:val="24"/>
          <w:lang w:val="gl-ES"/>
        </w:rPr>
        <w:lastRenderedPageBreak/>
        <w:t>nun deserto,</w:t>
      </w:r>
      <w:r>
        <w:rPr>
          <w:rFonts w:ascii="Arial" w:hAnsi="Arial" w:cs="Arial"/>
          <w:sz w:val="24"/>
          <w:szCs w:val="24"/>
          <w:lang w:val="gl-ES"/>
        </w:rPr>
        <w:t xml:space="preserve"> xa que e</w:t>
      </w:r>
      <w:r w:rsidR="00A861FB">
        <w:rPr>
          <w:rFonts w:ascii="Arial" w:hAnsi="Arial" w:cs="Arial"/>
          <w:sz w:val="24"/>
          <w:szCs w:val="24"/>
          <w:lang w:val="gl-ES"/>
        </w:rPr>
        <w:t>sta situación ten implicación</w:t>
      </w:r>
      <w:r w:rsidR="00DF4EF8">
        <w:rPr>
          <w:rFonts w:ascii="Arial" w:hAnsi="Arial" w:cs="Arial"/>
          <w:sz w:val="24"/>
          <w:szCs w:val="24"/>
          <w:lang w:val="gl-ES"/>
        </w:rPr>
        <w:t>s</w:t>
      </w:r>
      <w:r w:rsidR="00A861FB">
        <w:rPr>
          <w:rFonts w:ascii="Arial" w:hAnsi="Arial" w:cs="Arial"/>
          <w:sz w:val="24"/>
          <w:szCs w:val="24"/>
          <w:lang w:val="gl-ES"/>
        </w:rPr>
        <w:t xml:space="preserve"> máis alá das estritamente laborais</w:t>
      </w:r>
      <w:r w:rsidR="00DF4EF8">
        <w:rPr>
          <w:rFonts w:ascii="Arial" w:hAnsi="Arial" w:cs="Arial"/>
          <w:sz w:val="24"/>
          <w:szCs w:val="24"/>
          <w:lang w:val="gl-ES"/>
        </w:rPr>
        <w:t>. A</w:t>
      </w:r>
      <w:r w:rsidR="00A861FB">
        <w:rPr>
          <w:rFonts w:ascii="Arial" w:hAnsi="Arial" w:cs="Arial"/>
          <w:sz w:val="24"/>
          <w:szCs w:val="24"/>
          <w:lang w:val="gl-ES"/>
        </w:rPr>
        <w:t xml:space="preserve"> falta de mulleres novas leva a media prazo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 w:rsidR="00A861FB">
        <w:rPr>
          <w:rFonts w:ascii="Arial" w:hAnsi="Arial" w:cs="Arial"/>
          <w:sz w:val="24"/>
          <w:szCs w:val="24"/>
          <w:lang w:val="gl-ES"/>
        </w:rPr>
        <w:t xml:space="preserve">a </w:t>
      </w:r>
      <w:r>
        <w:rPr>
          <w:rFonts w:ascii="Arial" w:hAnsi="Arial" w:cs="Arial"/>
          <w:sz w:val="24"/>
          <w:szCs w:val="24"/>
          <w:lang w:val="gl-ES"/>
        </w:rPr>
        <w:t>maiores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 w:rsidR="00A861FB">
        <w:rPr>
          <w:rFonts w:ascii="Arial" w:hAnsi="Arial" w:cs="Arial"/>
          <w:sz w:val="24"/>
          <w:szCs w:val="24"/>
          <w:lang w:val="gl-ES"/>
        </w:rPr>
        <w:t>caídas de poboación.</w:t>
      </w:r>
    </w:p>
    <w:p w:rsidR="00A861FB" w:rsidRDefault="00A861FB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A</w:t>
      </w:r>
      <w:r w:rsidR="00DF4EF8">
        <w:rPr>
          <w:rFonts w:ascii="Arial" w:hAnsi="Arial" w:cs="Arial"/>
          <w:sz w:val="24"/>
          <w:szCs w:val="24"/>
          <w:lang w:val="gl-ES"/>
        </w:rPr>
        <w:t xml:space="preserve"> xeito de resumo,</w:t>
      </w:r>
      <w:r>
        <w:rPr>
          <w:rFonts w:ascii="Arial" w:hAnsi="Arial" w:cs="Arial"/>
          <w:sz w:val="24"/>
          <w:szCs w:val="24"/>
          <w:lang w:val="gl-ES"/>
        </w:rPr>
        <w:t xml:space="preserve"> no que atinxe á poboación activa feminina </w:t>
      </w:r>
      <w:r w:rsidR="00DF4EF8">
        <w:rPr>
          <w:rFonts w:ascii="Arial" w:hAnsi="Arial" w:cs="Arial"/>
          <w:sz w:val="24"/>
          <w:szCs w:val="24"/>
          <w:lang w:val="gl-ES"/>
        </w:rPr>
        <w:t xml:space="preserve">esta </w:t>
      </w:r>
      <w:r>
        <w:rPr>
          <w:rFonts w:ascii="Arial" w:hAnsi="Arial" w:cs="Arial"/>
          <w:sz w:val="24"/>
          <w:szCs w:val="24"/>
          <w:lang w:val="gl-ES"/>
        </w:rPr>
        <w:t>incrementouse n</w:t>
      </w:r>
      <w:r w:rsidR="00DF4EF8">
        <w:rPr>
          <w:rFonts w:ascii="Arial" w:hAnsi="Arial" w:cs="Arial"/>
          <w:sz w:val="24"/>
          <w:szCs w:val="24"/>
          <w:lang w:val="gl-ES"/>
        </w:rPr>
        <w:t>estes últimos anos e envelleceu. M</w:t>
      </w:r>
      <w:r>
        <w:rPr>
          <w:rFonts w:ascii="Arial" w:hAnsi="Arial" w:cs="Arial"/>
          <w:sz w:val="24"/>
          <w:szCs w:val="24"/>
          <w:lang w:val="gl-ES"/>
        </w:rPr>
        <w:t>oitas das mulleres que se incorporaron neste período</w:t>
      </w:r>
      <w:r w:rsidR="00DF4EF8">
        <w:rPr>
          <w:rFonts w:ascii="Arial" w:hAnsi="Arial" w:cs="Arial"/>
          <w:sz w:val="24"/>
          <w:szCs w:val="24"/>
          <w:lang w:val="gl-ES"/>
        </w:rPr>
        <w:t xml:space="preserve"> á poboación activa fixérono</w:t>
      </w:r>
      <w:r>
        <w:rPr>
          <w:rFonts w:ascii="Arial" w:hAnsi="Arial" w:cs="Arial"/>
          <w:sz w:val="24"/>
          <w:szCs w:val="24"/>
          <w:lang w:val="gl-ES"/>
        </w:rPr>
        <w:t xml:space="preserve"> pola necesidade derivada da perda do traballo doutro membro da familia, </w:t>
      </w:r>
      <w:r w:rsidR="00DF4EF8">
        <w:rPr>
          <w:rFonts w:ascii="Arial" w:hAnsi="Arial" w:cs="Arial"/>
          <w:sz w:val="24"/>
          <w:szCs w:val="24"/>
          <w:lang w:val="gl-ES"/>
        </w:rPr>
        <w:t xml:space="preserve">xa que, </w:t>
      </w:r>
      <w:r>
        <w:rPr>
          <w:rFonts w:ascii="Arial" w:hAnsi="Arial" w:cs="Arial"/>
          <w:sz w:val="24"/>
          <w:szCs w:val="24"/>
          <w:lang w:val="gl-ES"/>
        </w:rPr>
        <w:t xml:space="preserve">ante as necesidades económicas, </w:t>
      </w:r>
      <w:r w:rsidR="00DF4EF8">
        <w:rPr>
          <w:rFonts w:ascii="Arial" w:hAnsi="Arial" w:cs="Arial"/>
          <w:sz w:val="24"/>
          <w:szCs w:val="24"/>
          <w:lang w:val="gl-ES"/>
        </w:rPr>
        <w:t xml:space="preserve">ser viron </w:t>
      </w:r>
      <w:r>
        <w:rPr>
          <w:rFonts w:ascii="Arial" w:hAnsi="Arial" w:cs="Arial"/>
          <w:sz w:val="24"/>
          <w:szCs w:val="24"/>
          <w:lang w:val="gl-ES"/>
        </w:rPr>
        <w:t>obrigadas a buscar</w:t>
      </w:r>
      <w:r w:rsidR="00DF4EF8">
        <w:rPr>
          <w:rFonts w:ascii="Arial" w:hAnsi="Arial" w:cs="Arial"/>
          <w:sz w:val="24"/>
          <w:szCs w:val="24"/>
          <w:lang w:val="gl-ES"/>
        </w:rPr>
        <w:t>en</w:t>
      </w:r>
      <w:r>
        <w:rPr>
          <w:rFonts w:ascii="Arial" w:hAnsi="Arial" w:cs="Arial"/>
          <w:sz w:val="24"/>
          <w:szCs w:val="24"/>
          <w:lang w:val="gl-ES"/>
        </w:rPr>
        <w:t xml:space="preserve"> un emprego.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 w:rsidR="00DF4EF8">
        <w:rPr>
          <w:rFonts w:ascii="Arial" w:hAnsi="Arial" w:cs="Arial"/>
          <w:sz w:val="24"/>
          <w:szCs w:val="24"/>
          <w:lang w:val="gl-ES"/>
        </w:rPr>
        <w:t xml:space="preserve">Imos </w:t>
      </w:r>
      <w:r w:rsidR="00EE6D62">
        <w:rPr>
          <w:rFonts w:ascii="Arial" w:hAnsi="Arial" w:cs="Arial"/>
          <w:sz w:val="24"/>
          <w:szCs w:val="24"/>
          <w:lang w:val="gl-ES"/>
        </w:rPr>
        <w:t xml:space="preserve">ver a continuación como evolucionou a ocupación entre </w:t>
      </w:r>
      <w:r w:rsidR="00DF4EF8">
        <w:rPr>
          <w:rFonts w:ascii="Arial" w:hAnsi="Arial" w:cs="Arial"/>
          <w:sz w:val="24"/>
          <w:szCs w:val="24"/>
          <w:lang w:val="gl-ES"/>
        </w:rPr>
        <w:t>estas mulleres.</w:t>
      </w:r>
    </w:p>
    <w:p w:rsidR="00481C93" w:rsidRDefault="00481C93" w:rsidP="00A81E1A">
      <w:pPr>
        <w:jc w:val="both"/>
        <w:rPr>
          <w:rFonts w:ascii="Arial" w:hAnsi="Arial" w:cs="Arial"/>
          <w:sz w:val="24"/>
          <w:szCs w:val="24"/>
          <w:lang w:val="gl-ES"/>
        </w:rPr>
      </w:pPr>
    </w:p>
    <w:p w:rsidR="00481C93" w:rsidRDefault="00481C93" w:rsidP="00A81E1A">
      <w:pPr>
        <w:jc w:val="both"/>
        <w:rPr>
          <w:rFonts w:ascii="Arial" w:hAnsi="Arial" w:cs="Arial"/>
          <w:b/>
          <w:sz w:val="32"/>
          <w:szCs w:val="32"/>
          <w:lang w:val="gl-ES"/>
        </w:rPr>
      </w:pPr>
      <w:r w:rsidRPr="00481C93">
        <w:rPr>
          <w:rFonts w:ascii="Arial" w:hAnsi="Arial" w:cs="Arial"/>
          <w:b/>
          <w:sz w:val="32"/>
          <w:szCs w:val="32"/>
          <w:lang w:val="gl-ES"/>
        </w:rPr>
        <w:t>Poboación ocupada</w:t>
      </w:r>
    </w:p>
    <w:p w:rsidR="00D5022C" w:rsidRPr="00D5022C" w:rsidRDefault="00D5022C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Evolución da poboación ocupada. Datos en miles.</w:t>
      </w:r>
    </w:p>
    <w:tbl>
      <w:tblPr>
        <w:tblStyle w:val="Sombreadoclaro-nfasis4"/>
        <w:tblW w:w="10532" w:type="dxa"/>
        <w:tblInd w:w="-743" w:type="dxa"/>
        <w:tblLook w:val="04A0"/>
      </w:tblPr>
      <w:tblGrid>
        <w:gridCol w:w="851"/>
        <w:gridCol w:w="996"/>
        <w:gridCol w:w="996"/>
        <w:gridCol w:w="996"/>
        <w:gridCol w:w="996"/>
        <w:gridCol w:w="996"/>
        <w:gridCol w:w="996"/>
        <w:gridCol w:w="717"/>
        <w:gridCol w:w="996"/>
        <w:gridCol w:w="996"/>
        <w:gridCol w:w="996"/>
      </w:tblGrid>
      <w:tr w:rsidR="00D57545" w:rsidRPr="00D57545" w:rsidTr="00D5022C">
        <w:trPr>
          <w:cnfStyle w:val="100000000000"/>
          <w:trHeight w:val="256"/>
        </w:trPr>
        <w:tc>
          <w:tcPr>
            <w:cnfStyle w:val="001000000000"/>
            <w:tcW w:w="0" w:type="auto"/>
            <w:hideMark/>
          </w:tcPr>
          <w:p w:rsidR="00D57545" w:rsidRPr="00D57545" w:rsidRDefault="00D57545" w:rsidP="00D57545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hideMark/>
          </w:tcPr>
          <w:p w:rsidR="00D57545" w:rsidRPr="00D57545" w:rsidRDefault="00D57545" w:rsidP="00D57545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0" w:type="auto"/>
            <w:hideMark/>
          </w:tcPr>
          <w:p w:rsidR="00D57545" w:rsidRPr="00D57545" w:rsidRDefault="00D57545" w:rsidP="00D57545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0" w:type="auto"/>
            <w:hideMark/>
          </w:tcPr>
          <w:p w:rsidR="00D57545" w:rsidRPr="00D57545" w:rsidRDefault="00D57545" w:rsidP="00D57545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0" w:type="auto"/>
            <w:hideMark/>
          </w:tcPr>
          <w:p w:rsidR="00D57545" w:rsidRPr="00D57545" w:rsidRDefault="00D57545" w:rsidP="00D57545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0" w:type="auto"/>
            <w:hideMark/>
          </w:tcPr>
          <w:p w:rsidR="00D57545" w:rsidRPr="00D57545" w:rsidRDefault="00D57545" w:rsidP="00D57545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0" w:type="auto"/>
            <w:hideMark/>
          </w:tcPr>
          <w:p w:rsidR="00D57545" w:rsidRPr="00D57545" w:rsidRDefault="00D57545" w:rsidP="00D57545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0" w:type="auto"/>
            <w:hideMark/>
          </w:tcPr>
          <w:p w:rsidR="00D57545" w:rsidRPr="00D57545" w:rsidRDefault="00D57545" w:rsidP="00D57545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0" w:type="auto"/>
            <w:hideMark/>
          </w:tcPr>
          <w:p w:rsidR="00D57545" w:rsidRPr="00D57545" w:rsidRDefault="00D57545" w:rsidP="00D57545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0" w:type="auto"/>
            <w:hideMark/>
          </w:tcPr>
          <w:p w:rsidR="00D57545" w:rsidRPr="00D57545" w:rsidRDefault="00D57545" w:rsidP="00D57545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0" w:type="auto"/>
            <w:hideMark/>
          </w:tcPr>
          <w:p w:rsidR="00D57545" w:rsidRPr="00D57545" w:rsidRDefault="00D57545" w:rsidP="00D57545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</w:tr>
      <w:tr w:rsidR="00D57545" w:rsidRPr="00D57545" w:rsidTr="00D5022C">
        <w:trPr>
          <w:cnfStyle w:val="000000100000"/>
          <w:trHeight w:val="256"/>
        </w:trPr>
        <w:tc>
          <w:tcPr>
            <w:cnfStyle w:val="001000000000"/>
            <w:tcW w:w="0" w:type="auto"/>
            <w:hideMark/>
          </w:tcPr>
          <w:p w:rsidR="00D57545" w:rsidRPr="00D57545" w:rsidRDefault="00D57545" w:rsidP="00D57545">
            <w:pPr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0" w:type="auto"/>
            <w:hideMark/>
          </w:tcPr>
          <w:p w:rsidR="00D57545" w:rsidRPr="00D57545" w:rsidRDefault="00D57545" w:rsidP="00D57545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1.201,20</w:t>
            </w:r>
          </w:p>
        </w:tc>
        <w:tc>
          <w:tcPr>
            <w:tcW w:w="0" w:type="auto"/>
            <w:hideMark/>
          </w:tcPr>
          <w:p w:rsidR="00D57545" w:rsidRPr="00D57545" w:rsidRDefault="00D57545" w:rsidP="00D57545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1.155,40</w:t>
            </w:r>
          </w:p>
        </w:tc>
        <w:tc>
          <w:tcPr>
            <w:tcW w:w="0" w:type="auto"/>
            <w:hideMark/>
          </w:tcPr>
          <w:p w:rsidR="00D57545" w:rsidRPr="00D57545" w:rsidRDefault="00D57545" w:rsidP="00D57545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1.104,50</w:t>
            </w:r>
          </w:p>
        </w:tc>
        <w:tc>
          <w:tcPr>
            <w:tcW w:w="0" w:type="auto"/>
            <w:hideMark/>
          </w:tcPr>
          <w:p w:rsidR="00D57545" w:rsidRPr="00D57545" w:rsidRDefault="00D57545" w:rsidP="00D57545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1.089,30</w:t>
            </w:r>
          </w:p>
        </w:tc>
        <w:tc>
          <w:tcPr>
            <w:tcW w:w="0" w:type="auto"/>
            <w:hideMark/>
          </w:tcPr>
          <w:p w:rsidR="00D57545" w:rsidRPr="00D57545" w:rsidRDefault="00D57545" w:rsidP="00D57545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1.047,20</w:t>
            </w:r>
          </w:p>
        </w:tc>
        <w:tc>
          <w:tcPr>
            <w:tcW w:w="0" w:type="auto"/>
            <w:hideMark/>
          </w:tcPr>
          <w:p w:rsidR="00D57545" w:rsidRPr="00D57545" w:rsidRDefault="00D57545" w:rsidP="00D57545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1.006,40</w:t>
            </w:r>
          </w:p>
        </w:tc>
        <w:tc>
          <w:tcPr>
            <w:tcW w:w="0" w:type="auto"/>
            <w:hideMark/>
          </w:tcPr>
          <w:p w:rsidR="00D57545" w:rsidRPr="00D57545" w:rsidRDefault="00D57545" w:rsidP="00D57545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998</w:t>
            </w:r>
          </w:p>
        </w:tc>
        <w:tc>
          <w:tcPr>
            <w:tcW w:w="0" w:type="auto"/>
            <w:hideMark/>
          </w:tcPr>
          <w:p w:rsidR="00D57545" w:rsidRPr="00D57545" w:rsidRDefault="00D57545" w:rsidP="00D57545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1.017,20</w:t>
            </w:r>
          </w:p>
        </w:tc>
        <w:tc>
          <w:tcPr>
            <w:tcW w:w="0" w:type="auto"/>
            <w:hideMark/>
          </w:tcPr>
          <w:p w:rsidR="00D57545" w:rsidRPr="00D57545" w:rsidRDefault="00D57545" w:rsidP="00D57545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1.040,60</w:t>
            </w:r>
          </w:p>
        </w:tc>
        <w:tc>
          <w:tcPr>
            <w:tcW w:w="0" w:type="auto"/>
            <w:hideMark/>
          </w:tcPr>
          <w:p w:rsidR="00D57545" w:rsidRPr="00D57545" w:rsidRDefault="00D57545" w:rsidP="00D57545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1.052,70</w:t>
            </w:r>
          </w:p>
        </w:tc>
      </w:tr>
      <w:tr w:rsidR="00D57545" w:rsidRPr="00D57545" w:rsidTr="00D5022C">
        <w:trPr>
          <w:trHeight w:val="256"/>
        </w:trPr>
        <w:tc>
          <w:tcPr>
            <w:cnfStyle w:val="001000000000"/>
            <w:tcW w:w="0" w:type="auto"/>
            <w:hideMark/>
          </w:tcPr>
          <w:p w:rsidR="00D57545" w:rsidRPr="00D57545" w:rsidRDefault="00D57545" w:rsidP="00D57545">
            <w:pPr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Homes</w:t>
            </w:r>
          </w:p>
        </w:tc>
        <w:tc>
          <w:tcPr>
            <w:tcW w:w="0" w:type="auto"/>
            <w:hideMark/>
          </w:tcPr>
          <w:p w:rsidR="00D57545" w:rsidRPr="00D57545" w:rsidRDefault="00D57545" w:rsidP="00D57545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672,3</w:t>
            </w:r>
          </w:p>
        </w:tc>
        <w:tc>
          <w:tcPr>
            <w:tcW w:w="0" w:type="auto"/>
            <w:hideMark/>
          </w:tcPr>
          <w:p w:rsidR="00D57545" w:rsidRPr="00D57545" w:rsidRDefault="00D57545" w:rsidP="00D57545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630,8</w:t>
            </w:r>
          </w:p>
        </w:tc>
        <w:tc>
          <w:tcPr>
            <w:tcW w:w="0" w:type="auto"/>
            <w:hideMark/>
          </w:tcPr>
          <w:p w:rsidR="00D57545" w:rsidRPr="00D57545" w:rsidRDefault="00D57545" w:rsidP="00D57545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602,7</w:t>
            </w:r>
          </w:p>
        </w:tc>
        <w:tc>
          <w:tcPr>
            <w:tcW w:w="0" w:type="auto"/>
            <w:hideMark/>
          </w:tcPr>
          <w:p w:rsidR="00D57545" w:rsidRPr="00D57545" w:rsidRDefault="00D57545" w:rsidP="00D57545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586,6</w:t>
            </w:r>
          </w:p>
        </w:tc>
        <w:tc>
          <w:tcPr>
            <w:tcW w:w="0" w:type="auto"/>
            <w:hideMark/>
          </w:tcPr>
          <w:p w:rsidR="00D57545" w:rsidRPr="00D57545" w:rsidRDefault="00D57545" w:rsidP="00D57545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554,6</w:t>
            </w:r>
          </w:p>
        </w:tc>
        <w:tc>
          <w:tcPr>
            <w:tcW w:w="0" w:type="auto"/>
            <w:hideMark/>
          </w:tcPr>
          <w:p w:rsidR="00D57545" w:rsidRPr="00D57545" w:rsidRDefault="00D57545" w:rsidP="00D57545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530,6</w:t>
            </w:r>
          </w:p>
        </w:tc>
        <w:tc>
          <w:tcPr>
            <w:tcW w:w="0" w:type="auto"/>
            <w:hideMark/>
          </w:tcPr>
          <w:p w:rsidR="00D57545" w:rsidRPr="00D57545" w:rsidRDefault="00D57545" w:rsidP="00D57545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524,3</w:t>
            </w:r>
          </w:p>
        </w:tc>
        <w:tc>
          <w:tcPr>
            <w:tcW w:w="0" w:type="auto"/>
            <w:hideMark/>
          </w:tcPr>
          <w:p w:rsidR="00D57545" w:rsidRPr="00D57545" w:rsidRDefault="00D57545" w:rsidP="00D57545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538,2</w:t>
            </w:r>
          </w:p>
        </w:tc>
        <w:tc>
          <w:tcPr>
            <w:tcW w:w="0" w:type="auto"/>
            <w:hideMark/>
          </w:tcPr>
          <w:p w:rsidR="00D57545" w:rsidRPr="00D57545" w:rsidRDefault="00D57545" w:rsidP="00D57545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549</w:t>
            </w:r>
          </w:p>
        </w:tc>
        <w:tc>
          <w:tcPr>
            <w:tcW w:w="0" w:type="auto"/>
            <w:hideMark/>
          </w:tcPr>
          <w:p w:rsidR="00D57545" w:rsidRPr="00D57545" w:rsidRDefault="00D57545" w:rsidP="00D57545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551,2</w:t>
            </w:r>
          </w:p>
        </w:tc>
      </w:tr>
      <w:tr w:rsidR="00D57545" w:rsidRPr="00D57545" w:rsidTr="00D5022C">
        <w:trPr>
          <w:cnfStyle w:val="000000100000"/>
          <w:trHeight w:val="256"/>
        </w:trPr>
        <w:tc>
          <w:tcPr>
            <w:cnfStyle w:val="001000000000"/>
            <w:tcW w:w="0" w:type="auto"/>
            <w:hideMark/>
          </w:tcPr>
          <w:p w:rsidR="00D57545" w:rsidRPr="00D57545" w:rsidRDefault="00D57545" w:rsidP="00D57545">
            <w:pPr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Muller</w:t>
            </w:r>
          </w:p>
        </w:tc>
        <w:tc>
          <w:tcPr>
            <w:tcW w:w="0" w:type="auto"/>
            <w:hideMark/>
          </w:tcPr>
          <w:p w:rsidR="00D57545" w:rsidRPr="00D57545" w:rsidRDefault="00D57545" w:rsidP="00D57545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528,9</w:t>
            </w:r>
          </w:p>
        </w:tc>
        <w:tc>
          <w:tcPr>
            <w:tcW w:w="0" w:type="auto"/>
            <w:hideMark/>
          </w:tcPr>
          <w:p w:rsidR="00D57545" w:rsidRPr="00D57545" w:rsidRDefault="00D57545" w:rsidP="00D57545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524,6</w:t>
            </w:r>
          </w:p>
        </w:tc>
        <w:tc>
          <w:tcPr>
            <w:tcW w:w="0" w:type="auto"/>
            <w:hideMark/>
          </w:tcPr>
          <w:p w:rsidR="00D57545" w:rsidRPr="00D57545" w:rsidRDefault="00D57545" w:rsidP="00D57545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501,8</w:t>
            </w:r>
          </w:p>
        </w:tc>
        <w:tc>
          <w:tcPr>
            <w:tcW w:w="0" w:type="auto"/>
            <w:hideMark/>
          </w:tcPr>
          <w:p w:rsidR="00D57545" w:rsidRPr="00D57545" w:rsidRDefault="00D57545" w:rsidP="00D57545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502,7</w:t>
            </w:r>
          </w:p>
        </w:tc>
        <w:tc>
          <w:tcPr>
            <w:tcW w:w="0" w:type="auto"/>
            <w:hideMark/>
          </w:tcPr>
          <w:p w:rsidR="00D57545" w:rsidRPr="00D57545" w:rsidRDefault="00D57545" w:rsidP="00D57545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492,6</w:t>
            </w:r>
          </w:p>
        </w:tc>
        <w:tc>
          <w:tcPr>
            <w:tcW w:w="0" w:type="auto"/>
            <w:hideMark/>
          </w:tcPr>
          <w:p w:rsidR="00D57545" w:rsidRPr="00D57545" w:rsidRDefault="00D57545" w:rsidP="00D57545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475,8</w:t>
            </w:r>
          </w:p>
        </w:tc>
        <w:tc>
          <w:tcPr>
            <w:tcW w:w="0" w:type="auto"/>
            <w:hideMark/>
          </w:tcPr>
          <w:p w:rsidR="00D57545" w:rsidRPr="00D57545" w:rsidRDefault="00D57545" w:rsidP="00D57545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473,7</w:t>
            </w:r>
          </w:p>
        </w:tc>
        <w:tc>
          <w:tcPr>
            <w:tcW w:w="0" w:type="auto"/>
            <w:hideMark/>
          </w:tcPr>
          <w:p w:rsidR="00D57545" w:rsidRPr="00D57545" w:rsidRDefault="00D57545" w:rsidP="00D57545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479</w:t>
            </w:r>
          </w:p>
        </w:tc>
        <w:tc>
          <w:tcPr>
            <w:tcW w:w="0" w:type="auto"/>
            <w:hideMark/>
          </w:tcPr>
          <w:p w:rsidR="00D57545" w:rsidRPr="00D57545" w:rsidRDefault="00D57545" w:rsidP="00D57545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491,7</w:t>
            </w:r>
          </w:p>
        </w:tc>
        <w:tc>
          <w:tcPr>
            <w:tcW w:w="0" w:type="auto"/>
            <w:hideMark/>
          </w:tcPr>
          <w:p w:rsidR="00D57545" w:rsidRPr="00D57545" w:rsidRDefault="00D57545" w:rsidP="00D57545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D57545">
              <w:rPr>
                <w:rFonts w:ascii="Calibri" w:eastAsia="Times New Roman" w:hAnsi="Calibri" w:cs="Times New Roman"/>
                <w:color w:val="000000"/>
              </w:rPr>
              <w:t>501,4</w:t>
            </w:r>
          </w:p>
        </w:tc>
      </w:tr>
    </w:tbl>
    <w:p w:rsidR="00D5022C" w:rsidRPr="00DF4EF8" w:rsidRDefault="00D5022C" w:rsidP="00D5022C">
      <w:pPr>
        <w:jc w:val="both"/>
        <w:rPr>
          <w:rFonts w:ascii="Arial" w:hAnsi="Arial" w:cs="Arial"/>
          <w:i/>
          <w:sz w:val="24"/>
          <w:szCs w:val="24"/>
          <w:lang w:val="gl-ES"/>
        </w:rPr>
      </w:pPr>
      <w:r w:rsidRPr="00DF4EF8">
        <w:rPr>
          <w:rFonts w:ascii="Arial" w:hAnsi="Arial" w:cs="Arial"/>
          <w:i/>
          <w:sz w:val="24"/>
          <w:szCs w:val="24"/>
          <w:lang w:val="gl-ES"/>
        </w:rPr>
        <w:t>Fonte: EPA. INE</w:t>
      </w:r>
    </w:p>
    <w:p w:rsidR="00481C93" w:rsidRDefault="00D5022C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 w:rsidRPr="00D5022C"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5695950" cy="2400300"/>
            <wp:effectExtent l="19050" t="0" r="19050" b="0"/>
            <wp:docPr id="3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529A0" w:rsidRDefault="008529A0" w:rsidP="00A81E1A">
      <w:pPr>
        <w:jc w:val="both"/>
        <w:rPr>
          <w:rFonts w:ascii="Arial" w:hAnsi="Arial" w:cs="Arial"/>
          <w:sz w:val="24"/>
          <w:szCs w:val="24"/>
          <w:lang w:val="gl-ES"/>
        </w:rPr>
      </w:pPr>
    </w:p>
    <w:p w:rsidR="00B469D1" w:rsidRDefault="008529A0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Nove anos despois do comezo da crise, e </w:t>
      </w:r>
      <w:r w:rsidR="00DF4EF8">
        <w:rPr>
          <w:rFonts w:ascii="Arial" w:hAnsi="Arial" w:cs="Arial"/>
          <w:sz w:val="24"/>
          <w:szCs w:val="24"/>
          <w:lang w:val="gl-ES"/>
        </w:rPr>
        <w:t xml:space="preserve">de </w:t>
      </w:r>
      <w:r>
        <w:rPr>
          <w:rFonts w:ascii="Arial" w:hAnsi="Arial" w:cs="Arial"/>
          <w:sz w:val="24"/>
          <w:szCs w:val="24"/>
          <w:lang w:val="gl-ES"/>
        </w:rPr>
        <w:t>tres de creación neta de emprego, aínda en G</w:t>
      </w:r>
      <w:r w:rsidR="00B533CD">
        <w:rPr>
          <w:rFonts w:ascii="Arial" w:hAnsi="Arial" w:cs="Arial"/>
          <w:sz w:val="24"/>
          <w:szCs w:val="24"/>
          <w:lang w:val="gl-ES"/>
        </w:rPr>
        <w:t>aliza</w:t>
      </w:r>
      <w:r>
        <w:rPr>
          <w:rFonts w:ascii="Arial" w:hAnsi="Arial" w:cs="Arial"/>
          <w:sz w:val="24"/>
          <w:szCs w:val="24"/>
          <w:lang w:val="gl-ES"/>
        </w:rPr>
        <w:t xml:space="preserve"> se estima que o número de mulleres ocupadas </w:t>
      </w:r>
      <w:r w:rsidR="00DF4EF8">
        <w:rPr>
          <w:rFonts w:ascii="Arial" w:hAnsi="Arial" w:cs="Arial"/>
          <w:sz w:val="24"/>
          <w:szCs w:val="24"/>
          <w:lang w:val="gl-ES"/>
        </w:rPr>
        <w:t>é</w:t>
      </w:r>
      <w:r>
        <w:rPr>
          <w:rFonts w:ascii="Arial" w:hAnsi="Arial" w:cs="Arial"/>
          <w:sz w:val="24"/>
          <w:szCs w:val="24"/>
          <w:lang w:val="gl-ES"/>
        </w:rPr>
        <w:t xml:space="preserve"> inferior</w:t>
      </w:r>
      <w:r w:rsidR="00DF4EF8">
        <w:rPr>
          <w:rFonts w:ascii="Arial" w:hAnsi="Arial" w:cs="Arial"/>
          <w:sz w:val="24"/>
          <w:szCs w:val="24"/>
          <w:lang w:val="gl-ES"/>
        </w:rPr>
        <w:t xml:space="preserve"> á </w:t>
      </w:r>
      <w:r w:rsidR="00BA432E">
        <w:rPr>
          <w:rFonts w:ascii="Arial" w:hAnsi="Arial" w:cs="Arial"/>
          <w:sz w:val="24"/>
          <w:szCs w:val="24"/>
          <w:lang w:val="gl-ES"/>
        </w:rPr>
        <w:t>devandita</w:t>
      </w:r>
      <w:r w:rsidR="00DF4EF8">
        <w:rPr>
          <w:rFonts w:ascii="Arial" w:hAnsi="Arial" w:cs="Arial"/>
          <w:sz w:val="24"/>
          <w:szCs w:val="24"/>
          <w:lang w:val="gl-ES"/>
        </w:rPr>
        <w:t xml:space="preserve"> data. C</w:t>
      </w:r>
      <w:r>
        <w:rPr>
          <w:rFonts w:ascii="Arial" w:hAnsi="Arial" w:cs="Arial"/>
          <w:sz w:val="24"/>
          <w:szCs w:val="24"/>
          <w:lang w:val="gl-ES"/>
        </w:rPr>
        <w:t>oncretamente son</w:t>
      </w:r>
      <w:r w:rsidR="00DF4EF8">
        <w:rPr>
          <w:rFonts w:ascii="Arial" w:hAnsi="Arial" w:cs="Arial"/>
          <w:sz w:val="24"/>
          <w:szCs w:val="24"/>
          <w:lang w:val="gl-ES"/>
        </w:rPr>
        <w:t xml:space="preserve"> 27.500 mulleres ocupadas menos. É</w:t>
      </w:r>
      <w:r w:rsidR="00B469D1">
        <w:rPr>
          <w:rFonts w:ascii="Arial" w:hAnsi="Arial" w:cs="Arial"/>
          <w:sz w:val="24"/>
          <w:szCs w:val="24"/>
          <w:lang w:val="gl-ES"/>
        </w:rPr>
        <w:t xml:space="preserve"> certo que a evolución da poboación ocupada masculina é moito peor, xa que aínda </w:t>
      </w:r>
      <w:r w:rsidR="00DF4EF8">
        <w:rPr>
          <w:rFonts w:ascii="Arial" w:hAnsi="Arial" w:cs="Arial"/>
          <w:sz w:val="24"/>
          <w:szCs w:val="24"/>
          <w:lang w:val="gl-ES"/>
        </w:rPr>
        <w:t xml:space="preserve">existen </w:t>
      </w:r>
      <w:r w:rsidR="00B469D1">
        <w:rPr>
          <w:rFonts w:ascii="Arial" w:hAnsi="Arial" w:cs="Arial"/>
          <w:sz w:val="24"/>
          <w:szCs w:val="24"/>
          <w:lang w:val="gl-ES"/>
        </w:rPr>
        <w:t>121.200 ocupados menos que no ano 2008.</w:t>
      </w:r>
    </w:p>
    <w:p w:rsidR="00B469D1" w:rsidRDefault="00B469D1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lastRenderedPageBreak/>
        <w:t>No</w:t>
      </w:r>
      <w:r w:rsidR="008529A0">
        <w:rPr>
          <w:rFonts w:ascii="Arial" w:hAnsi="Arial" w:cs="Arial"/>
          <w:sz w:val="24"/>
          <w:szCs w:val="24"/>
          <w:lang w:val="gl-ES"/>
        </w:rPr>
        <w:t xml:space="preserve"> último ano</w:t>
      </w:r>
      <w:r w:rsidR="00DF4EF8">
        <w:rPr>
          <w:rFonts w:ascii="Arial" w:hAnsi="Arial" w:cs="Arial"/>
          <w:sz w:val="24"/>
          <w:szCs w:val="24"/>
          <w:lang w:val="gl-ES"/>
        </w:rPr>
        <w:t>,</w:t>
      </w:r>
      <w:r w:rsidR="008529A0">
        <w:rPr>
          <w:rFonts w:ascii="Arial" w:hAnsi="Arial" w:cs="Arial"/>
          <w:sz w:val="24"/>
          <w:szCs w:val="24"/>
          <w:lang w:val="gl-ES"/>
        </w:rPr>
        <w:t xml:space="preserve"> entre as mulleres</w:t>
      </w:r>
      <w:r w:rsidR="00DF4EF8">
        <w:rPr>
          <w:rFonts w:ascii="Arial" w:hAnsi="Arial" w:cs="Arial"/>
          <w:sz w:val="24"/>
          <w:szCs w:val="24"/>
          <w:lang w:val="gl-ES"/>
        </w:rPr>
        <w:t>,</w:t>
      </w:r>
      <w:r w:rsidR="008529A0">
        <w:rPr>
          <w:rFonts w:ascii="Arial" w:hAnsi="Arial" w:cs="Arial"/>
          <w:sz w:val="24"/>
          <w:szCs w:val="24"/>
          <w:lang w:val="gl-ES"/>
        </w:rPr>
        <w:t xml:space="preserve"> aumentou o número de ocupadas en 9.70</w:t>
      </w:r>
      <w:r w:rsidR="00DF4EF8">
        <w:rPr>
          <w:rFonts w:ascii="Arial" w:hAnsi="Arial" w:cs="Arial"/>
          <w:sz w:val="24"/>
          <w:szCs w:val="24"/>
          <w:lang w:val="gl-ES"/>
        </w:rPr>
        <w:t>. E</w:t>
      </w:r>
      <w:r w:rsidR="008529A0">
        <w:rPr>
          <w:rFonts w:ascii="Arial" w:hAnsi="Arial" w:cs="Arial"/>
          <w:sz w:val="24"/>
          <w:szCs w:val="24"/>
          <w:lang w:val="gl-ES"/>
        </w:rPr>
        <w:t xml:space="preserve">ntre os homes </w:t>
      </w:r>
      <w:r w:rsidR="00DF4EF8">
        <w:rPr>
          <w:rFonts w:ascii="Arial" w:hAnsi="Arial" w:cs="Arial"/>
          <w:sz w:val="24"/>
          <w:szCs w:val="24"/>
          <w:lang w:val="gl-ES"/>
        </w:rPr>
        <w:t>ese aumento foi de apenas</w:t>
      </w:r>
      <w:r w:rsidR="008529A0">
        <w:rPr>
          <w:rFonts w:ascii="Arial" w:hAnsi="Arial" w:cs="Arial"/>
          <w:sz w:val="24"/>
          <w:szCs w:val="24"/>
          <w:lang w:val="gl-ES"/>
        </w:rPr>
        <w:t xml:space="preserve"> 2.200</w:t>
      </w:r>
      <w:r>
        <w:rPr>
          <w:rFonts w:ascii="Arial" w:hAnsi="Arial" w:cs="Arial"/>
          <w:sz w:val="24"/>
          <w:szCs w:val="24"/>
          <w:lang w:val="gl-ES"/>
        </w:rPr>
        <w:t>.</w:t>
      </w:r>
    </w:p>
    <w:p w:rsidR="00481C93" w:rsidRDefault="00DF4EF8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Pola súa parte, </w:t>
      </w:r>
      <w:r w:rsidR="00B469D1">
        <w:rPr>
          <w:rFonts w:ascii="Arial" w:hAnsi="Arial" w:cs="Arial"/>
          <w:sz w:val="24"/>
          <w:szCs w:val="24"/>
          <w:lang w:val="gl-ES"/>
        </w:rPr>
        <w:t>a poboación activa feminina medrou en 10.600 persoas desde o ano 2008, pero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 w:rsidR="00B469D1">
        <w:rPr>
          <w:rFonts w:ascii="Arial" w:hAnsi="Arial" w:cs="Arial"/>
          <w:sz w:val="24"/>
          <w:szCs w:val="24"/>
          <w:lang w:val="gl-ES"/>
        </w:rPr>
        <w:t>a ocupación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 w:rsidR="00B469D1">
        <w:rPr>
          <w:rFonts w:ascii="Arial" w:hAnsi="Arial" w:cs="Arial"/>
          <w:sz w:val="24"/>
          <w:szCs w:val="24"/>
          <w:lang w:val="gl-ES"/>
        </w:rPr>
        <w:t>descendeu en 27.500, o que implica que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 w:rsidR="00B469D1">
        <w:rPr>
          <w:rFonts w:ascii="Arial" w:hAnsi="Arial" w:cs="Arial"/>
          <w:sz w:val="24"/>
          <w:szCs w:val="24"/>
          <w:lang w:val="gl-ES"/>
        </w:rPr>
        <w:t xml:space="preserve">o intento de moitas mulleres </w:t>
      </w:r>
      <w:r>
        <w:rPr>
          <w:rFonts w:ascii="Arial" w:hAnsi="Arial" w:cs="Arial"/>
          <w:sz w:val="24"/>
          <w:szCs w:val="24"/>
          <w:lang w:val="gl-ES"/>
        </w:rPr>
        <w:t>de</w:t>
      </w:r>
      <w:r w:rsidR="00B469D1">
        <w:rPr>
          <w:rFonts w:ascii="Arial" w:hAnsi="Arial" w:cs="Arial"/>
          <w:sz w:val="24"/>
          <w:szCs w:val="24"/>
          <w:lang w:val="gl-ES"/>
        </w:rPr>
        <w:t xml:space="preserve"> </w:t>
      </w:r>
      <w:r>
        <w:rPr>
          <w:rFonts w:ascii="Arial" w:hAnsi="Arial" w:cs="Arial"/>
          <w:sz w:val="24"/>
          <w:szCs w:val="24"/>
          <w:lang w:val="gl-ES"/>
        </w:rPr>
        <w:t xml:space="preserve">se </w:t>
      </w:r>
      <w:r w:rsidR="00B469D1">
        <w:rPr>
          <w:rFonts w:ascii="Arial" w:hAnsi="Arial" w:cs="Arial"/>
          <w:sz w:val="24"/>
          <w:szCs w:val="24"/>
          <w:lang w:val="gl-ES"/>
        </w:rPr>
        <w:t>incorporar</w:t>
      </w:r>
      <w:r>
        <w:rPr>
          <w:rFonts w:ascii="Arial" w:hAnsi="Arial" w:cs="Arial"/>
          <w:sz w:val="24"/>
          <w:szCs w:val="24"/>
          <w:lang w:val="gl-ES"/>
        </w:rPr>
        <w:t>en</w:t>
      </w:r>
      <w:r w:rsidR="004E08C4">
        <w:rPr>
          <w:rFonts w:ascii="Arial" w:hAnsi="Arial" w:cs="Arial"/>
          <w:sz w:val="24"/>
          <w:szCs w:val="24"/>
          <w:lang w:val="gl-ES"/>
        </w:rPr>
        <w:t xml:space="preserve"> ao </w:t>
      </w:r>
      <w:r w:rsidR="00B469D1">
        <w:rPr>
          <w:rFonts w:ascii="Arial" w:hAnsi="Arial" w:cs="Arial"/>
          <w:sz w:val="24"/>
          <w:szCs w:val="24"/>
          <w:lang w:val="gl-ES"/>
        </w:rPr>
        <w:t>mercado de t</w:t>
      </w:r>
      <w:r w:rsidR="00761292">
        <w:rPr>
          <w:rFonts w:ascii="Arial" w:hAnsi="Arial" w:cs="Arial"/>
          <w:sz w:val="24"/>
          <w:szCs w:val="24"/>
          <w:lang w:val="gl-ES"/>
        </w:rPr>
        <w:t xml:space="preserve">raballo </w:t>
      </w:r>
      <w:r>
        <w:rPr>
          <w:rFonts w:ascii="Arial" w:hAnsi="Arial" w:cs="Arial"/>
          <w:sz w:val="24"/>
          <w:szCs w:val="24"/>
          <w:lang w:val="gl-ES"/>
        </w:rPr>
        <w:t xml:space="preserve">se </w:t>
      </w:r>
      <w:r w:rsidR="00761292">
        <w:rPr>
          <w:rFonts w:ascii="Arial" w:hAnsi="Arial" w:cs="Arial"/>
          <w:sz w:val="24"/>
          <w:szCs w:val="24"/>
          <w:lang w:val="gl-ES"/>
        </w:rPr>
        <w:t>traduciu en máis paro</w:t>
      </w:r>
      <w:r>
        <w:rPr>
          <w:rFonts w:ascii="Arial" w:hAnsi="Arial" w:cs="Arial"/>
          <w:sz w:val="24"/>
          <w:szCs w:val="24"/>
          <w:lang w:val="gl-ES"/>
        </w:rPr>
        <w:t xml:space="preserve">. De feito, </w:t>
      </w:r>
      <w:r w:rsidR="00761292">
        <w:rPr>
          <w:rFonts w:ascii="Arial" w:hAnsi="Arial" w:cs="Arial"/>
          <w:sz w:val="24"/>
          <w:szCs w:val="24"/>
          <w:lang w:val="gl-ES"/>
        </w:rPr>
        <w:t>a taxa de ocupación das mulleres descendeu 1 punto neste período</w:t>
      </w:r>
      <w:r>
        <w:rPr>
          <w:rFonts w:ascii="Arial" w:hAnsi="Arial" w:cs="Arial"/>
          <w:sz w:val="24"/>
          <w:szCs w:val="24"/>
          <w:lang w:val="gl-ES"/>
        </w:rPr>
        <w:t>:</w:t>
      </w:r>
      <w:r w:rsidR="00761292">
        <w:rPr>
          <w:rFonts w:ascii="Arial" w:hAnsi="Arial" w:cs="Arial"/>
          <w:sz w:val="24"/>
          <w:szCs w:val="24"/>
          <w:lang w:val="gl-ES"/>
        </w:rPr>
        <w:t xml:space="preserve"> d</w:t>
      </w:r>
      <w:r>
        <w:rPr>
          <w:rFonts w:ascii="Arial" w:hAnsi="Arial" w:cs="Arial"/>
          <w:sz w:val="24"/>
          <w:szCs w:val="24"/>
          <w:lang w:val="gl-ES"/>
        </w:rPr>
        <w:t>o</w:t>
      </w:r>
      <w:r w:rsidR="00761292">
        <w:rPr>
          <w:rFonts w:ascii="Arial" w:hAnsi="Arial" w:cs="Arial"/>
          <w:sz w:val="24"/>
          <w:szCs w:val="24"/>
          <w:lang w:val="gl-ES"/>
        </w:rPr>
        <w:t xml:space="preserve"> 42,1% en 2008 ao 41,15</w:t>
      </w:r>
      <w:r>
        <w:rPr>
          <w:rFonts w:ascii="Arial" w:hAnsi="Arial" w:cs="Arial"/>
          <w:sz w:val="24"/>
          <w:szCs w:val="24"/>
          <w:lang w:val="gl-ES"/>
        </w:rPr>
        <w:t>%</w:t>
      </w:r>
      <w:r w:rsidR="00761292">
        <w:rPr>
          <w:rFonts w:ascii="Arial" w:hAnsi="Arial" w:cs="Arial"/>
          <w:sz w:val="24"/>
          <w:szCs w:val="24"/>
          <w:lang w:val="gl-ES"/>
        </w:rPr>
        <w:t xml:space="preserve"> en 2017.</w:t>
      </w:r>
      <w:r w:rsidR="00F374DB">
        <w:rPr>
          <w:rFonts w:ascii="Arial" w:hAnsi="Arial" w:cs="Arial"/>
          <w:sz w:val="24"/>
          <w:szCs w:val="24"/>
          <w:lang w:val="gl-ES"/>
        </w:rPr>
        <w:t xml:space="preserve"> Entre os homes </w:t>
      </w:r>
      <w:r>
        <w:rPr>
          <w:rFonts w:ascii="Arial" w:hAnsi="Arial" w:cs="Arial"/>
          <w:sz w:val="24"/>
          <w:szCs w:val="24"/>
          <w:lang w:val="gl-ES"/>
        </w:rPr>
        <w:t xml:space="preserve">este descenso foi de </w:t>
      </w:r>
      <w:r w:rsidR="00F374DB">
        <w:rPr>
          <w:rFonts w:ascii="Arial" w:hAnsi="Arial" w:cs="Arial"/>
          <w:sz w:val="24"/>
          <w:szCs w:val="24"/>
          <w:lang w:val="gl-ES"/>
        </w:rPr>
        <w:t>máis de 9 puntos.</w:t>
      </w:r>
    </w:p>
    <w:p w:rsidR="00B318F4" w:rsidRDefault="00B318F4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Non s</w:t>
      </w:r>
      <w:r w:rsidR="00DF4EF8">
        <w:rPr>
          <w:rFonts w:ascii="Arial" w:hAnsi="Arial" w:cs="Arial"/>
          <w:sz w:val="24"/>
          <w:szCs w:val="24"/>
          <w:lang w:val="gl-ES"/>
        </w:rPr>
        <w:t>ó</w:t>
      </w:r>
      <w:r w:rsidR="00635009">
        <w:rPr>
          <w:rFonts w:ascii="Arial" w:hAnsi="Arial" w:cs="Arial"/>
          <w:sz w:val="24"/>
          <w:szCs w:val="24"/>
          <w:lang w:val="gl-ES"/>
        </w:rPr>
        <w:t xml:space="preserve"> non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>
        <w:rPr>
          <w:rFonts w:ascii="Arial" w:hAnsi="Arial" w:cs="Arial"/>
          <w:sz w:val="24"/>
          <w:szCs w:val="24"/>
          <w:lang w:val="gl-ES"/>
        </w:rPr>
        <w:t>medrou a ocupación, senón que se produciron modificacións importantes entre as mulleres con emprego: avellentamento das ocupadas, aumento das xornadas parciais, contratos temporais, maior rotación do empreg</w:t>
      </w:r>
      <w:r w:rsidR="00DF4EF8">
        <w:rPr>
          <w:rFonts w:ascii="Arial" w:hAnsi="Arial" w:cs="Arial"/>
          <w:sz w:val="24"/>
          <w:szCs w:val="24"/>
          <w:lang w:val="gl-ES"/>
        </w:rPr>
        <w:t>o, etc.</w:t>
      </w:r>
    </w:p>
    <w:p w:rsidR="00B318F4" w:rsidRDefault="00B318F4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Para est</w:t>
      </w:r>
      <w:r w:rsidR="00DF4EF8">
        <w:rPr>
          <w:rFonts w:ascii="Arial" w:hAnsi="Arial" w:cs="Arial"/>
          <w:sz w:val="24"/>
          <w:szCs w:val="24"/>
          <w:lang w:val="gl-ES"/>
        </w:rPr>
        <w:t>as</w:t>
      </w:r>
      <w:r>
        <w:rPr>
          <w:rFonts w:ascii="Arial" w:hAnsi="Arial" w:cs="Arial"/>
          <w:sz w:val="24"/>
          <w:szCs w:val="24"/>
          <w:lang w:val="gl-ES"/>
        </w:rPr>
        <w:t xml:space="preserve"> análise</w:t>
      </w:r>
      <w:r w:rsidR="00DF4EF8">
        <w:rPr>
          <w:rFonts w:ascii="Arial" w:hAnsi="Arial" w:cs="Arial"/>
          <w:sz w:val="24"/>
          <w:szCs w:val="24"/>
          <w:lang w:val="gl-ES"/>
        </w:rPr>
        <w:t>s</w:t>
      </w:r>
      <w:r>
        <w:rPr>
          <w:rFonts w:ascii="Arial" w:hAnsi="Arial" w:cs="Arial"/>
          <w:sz w:val="24"/>
          <w:szCs w:val="24"/>
          <w:lang w:val="gl-ES"/>
        </w:rPr>
        <w:t xml:space="preserve"> s</w:t>
      </w:r>
      <w:r w:rsidR="00DF4EF8">
        <w:rPr>
          <w:rFonts w:ascii="Arial" w:hAnsi="Arial" w:cs="Arial"/>
          <w:sz w:val="24"/>
          <w:szCs w:val="24"/>
          <w:lang w:val="gl-ES"/>
        </w:rPr>
        <w:t>ó</w:t>
      </w:r>
      <w:r>
        <w:rPr>
          <w:rFonts w:ascii="Arial" w:hAnsi="Arial" w:cs="Arial"/>
          <w:sz w:val="24"/>
          <w:szCs w:val="24"/>
          <w:lang w:val="gl-ES"/>
        </w:rPr>
        <w:t xml:space="preserve"> dispomos de datos a partir do</w:t>
      </w:r>
      <w:r w:rsidR="00DF4EF8">
        <w:rPr>
          <w:rFonts w:ascii="Arial" w:hAnsi="Arial" w:cs="Arial"/>
          <w:sz w:val="24"/>
          <w:szCs w:val="24"/>
          <w:lang w:val="gl-ES"/>
        </w:rPr>
        <w:t xml:space="preserve"> terceiro trimestre do ano 2009, e esta</w:t>
      </w:r>
      <w:r>
        <w:rPr>
          <w:rFonts w:ascii="Arial" w:hAnsi="Arial" w:cs="Arial"/>
          <w:sz w:val="24"/>
          <w:szCs w:val="24"/>
          <w:lang w:val="gl-ES"/>
        </w:rPr>
        <w:t xml:space="preserve"> é polo tanto </w:t>
      </w:r>
      <w:r w:rsidR="00E1611D">
        <w:rPr>
          <w:rFonts w:ascii="Arial" w:hAnsi="Arial" w:cs="Arial"/>
          <w:sz w:val="24"/>
          <w:szCs w:val="24"/>
          <w:lang w:val="gl-ES"/>
        </w:rPr>
        <w:t>a</w:t>
      </w:r>
      <w:r>
        <w:rPr>
          <w:rFonts w:ascii="Arial" w:hAnsi="Arial" w:cs="Arial"/>
          <w:sz w:val="24"/>
          <w:szCs w:val="24"/>
          <w:lang w:val="gl-ES"/>
        </w:rPr>
        <w:t xml:space="preserve"> referencia que </w:t>
      </w:r>
      <w:r w:rsidR="00DF4EF8">
        <w:rPr>
          <w:rFonts w:ascii="Arial" w:hAnsi="Arial" w:cs="Arial"/>
          <w:sz w:val="24"/>
          <w:szCs w:val="24"/>
          <w:lang w:val="gl-ES"/>
        </w:rPr>
        <w:t>i</w:t>
      </w:r>
      <w:r>
        <w:rPr>
          <w:rFonts w:ascii="Arial" w:hAnsi="Arial" w:cs="Arial"/>
          <w:sz w:val="24"/>
          <w:szCs w:val="24"/>
          <w:lang w:val="gl-ES"/>
        </w:rPr>
        <w:t>mos utilizar.</w:t>
      </w:r>
      <w:r w:rsidR="008618FF">
        <w:rPr>
          <w:rFonts w:ascii="Arial" w:hAnsi="Arial" w:cs="Arial"/>
          <w:sz w:val="24"/>
          <w:szCs w:val="24"/>
          <w:lang w:val="gl-ES"/>
        </w:rPr>
        <w:t xml:space="preserve"> Comezamos pola idade.</w:t>
      </w:r>
    </w:p>
    <w:p w:rsidR="00B318F4" w:rsidRDefault="00B318F4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Ocupadas segundo grupo de idade</w:t>
      </w:r>
    </w:p>
    <w:tbl>
      <w:tblPr>
        <w:tblStyle w:val="Sombreadoclaro-nfasis4"/>
        <w:tblW w:w="9540" w:type="dxa"/>
        <w:tblLook w:val="04A0"/>
      </w:tblPr>
      <w:tblGrid>
        <w:gridCol w:w="3530"/>
        <w:gridCol w:w="1198"/>
        <w:gridCol w:w="1198"/>
        <w:gridCol w:w="1198"/>
        <w:gridCol w:w="1176"/>
        <w:gridCol w:w="1240"/>
      </w:tblGrid>
      <w:tr w:rsidR="00B318F4" w:rsidRPr="004B0FC2" w:rsidTr="00B318F4">
        <w:trPr>
          <w:cnfStyle w:val="100000000000"/>
          <w:trHeight w:val="300"/>
        </w:trPr>
        <w:tc>
          <w:tcPr>
            <w:cnfStyle w:val="001000000000"/>
            <w:tcW w:w="3530" w:type="dxa"/>
            <w:hideMark/>
          </w:tcPr>
          <w:p w:rsidR="00B318F4" w:rsidRPr="004B0FC2" w:rsidRDefault="00B318F4" w:rsidP="00B318F4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</w:p>
        </w:tc>
        <w:tc>
          <w:tcPr>
            <w:tcW w:w="3594" w:type="dxa"/>
            <w:gridSpan w:val="3"/>
            <w:hideMark/>
          </w:tcPr>
          <w:p w:rsidR="00B318F4" w:rsidRPr="004B0FC2" w:rsidRDefault="00B318F4" w:rsidP="00B318F4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color w:val="000000"/>
                <w:lang w:val="gl-ES"/>
              </w:rPr>
              <w:t>Mulleres</w:t>
            </w:r>
          </w:p>
        </w:tc>
        <w:tc>
          <w:tcPr>
            <w:tcW w:w="2416" w:type="dxa"/>
            <w:gridSpan w:val="2"/>
            <w:noWrap/>
            <w:hideMark/>
          </w:tcPr>
          <w:p w:rsidR="00B318F4" w:rsidRPr="004B0FC2" w:rsidRDefault="00B318F4" w:rsidP="00B318F4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Variación </w:t>
            </w:r>
          </w:p>
        </w:tc>
      </w:tr>
      <w:tr w:rsidR="00B318F4" w:rsidRPr="004B0FC2" w:rsidTr="00B318F4">
        <w:trPr>
          <w:cnfStyle w:val="000000100000"/>
          <w:trHeight w:val="300"/>
        </w:trPr>
        <w:tc>
          <w:tcPr>
            <w:cnfStyle w:val="001000000000"/>
            <w:tcW w:w="3530" w:type="dxa"/>
            <w:hideMark/>
          </w:tcPr>
          <w:p w:rsidR="00B318F4" w:rsidRPr="004B0FC2" w:rsidRDefault="00B318F4" w:rsidP="00B318F4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</w:p>
        </w:tc>
        <w:tc>
          <w:tcPr>
            <w:tcW w:w="1198" w:type="dxa"/>
            <w:hideMark/>
          </w:tcPr>
          <w:p w:rsidR="00B318F4" w:rsidRPr="004B0FC2" w:rsidRDefault="00B318F4" w:rsidP="00B318F4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  <w:t>2009/III</w:t>
            </w:r>
          </w:p>
        </w:tc>
        <w:tc>
          <w:tcPr>
            <w:tcW w:w="1198" w:type="dxa"/>
            <w:hideMark/>
          </w:tcPr>
          <w:p w:rsidR="00B318F4" w:rsidRPr="004B0FC2" w:rsidRDefault="00B318F4" w:rsidP="00B318F4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  <w:t>2016</w:t>
            </w:r>
          </w:p>
        </w:tc>
        <w:tc>
          <w:tcPr>
            <w:tcW w:w="1198" w:type="dxa"/>
            <w:hideMark/>
          </w:tcPr>
          <w:p w:rsidR="00B318F4" w:rsidRPr="004B0FC2" w:rsidRDefault="00B318F4" w:rsidP="00B318F4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  <w:t>2017</w:t>
            </w:r>
          </w:p>
        </w:tc>
        <w:tc>
          <w:tcPr>
            <w:tcW w:w="1176" w:type="dxa"/>
            <w:noWrap/>
            <w:hideMark/>
          </w:tcPr>
          <w:p w:rsidR="00B318F4" w:rsidRPr="004B0FC2" w:rsidRDefault="00B318F4" w:rsidP="00B318F4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b/>
                <w:color w:val="000000"/>
                <w:lang w:val="gl-ES"/>
              </w:rPr>
              <w:t>17/16</w:t>
            </w:r>
          </w:p>
        </w:tc>
        <w:tc>
          <w:tcPr>
            <w:tcW w:w="1240" w:type="dxa"/>
            <w:noWrap/>
            <w:hideMark/>
          </w:tcPr>
          <w:p w:rsidR="00B318F4" w:rsidRPr="004B0FC2" w:rsidRDefault="00B318F4" w:rsidP="00B318F4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b/>
                <w:color w:val="000000"/>
                <w:lang w:val="gl-ES"/>
              </w:rPr>
              <w:t>17/09</w:t>
            </w:r>
          </w:p>
        </w:tc>
      </w:tr>
      <w:tr w:rsidR="00B318F4" w:rsidRPr="004B0FC2" w:rsidTr="00B318F4">
        <w:trPr>
          <w:trHeight w:val="300"/>
        </w:trPr>
        <w:tc>
          <w:tcPr>
            <w:cnfStyle w:val="001000000000"/>
            <w:tcW w:w="3530" w:type="dxa"/>
            <w:hideMark/>
          </w:tcPr>
          <w:p w:rsidR="00B318F4" w:rsidRPr="004B0FC2" w:rsidRDefault="00B318F4" w:rsidP="00B318F4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color w:val="000000"/>
                <w:lang w:val="gl-ES"/>
              </w:rPr>
              <w:t>Total</w:t>
            </w:r>
          </w:p>
        </w:tc>
        <w:tc>
          <w:tcPr>
            <w:tcW w:w="1198" w:type="dxa"/>
            <w:hideMark/>
          </w:tcPr>
          <w:p w:rsidR="00B318F4" w:rsidRPr="004B0FC2" w:rsidRDefault="00B318F4" w:rsidP="00B318F4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color w:val="000000"/>
                <w:lang w:val="gl-ES"/>
              </w:rPr>
              <w:t>523,1</w:t>
            </w:r>
          </w:p>
        </w:tc>
        <w:tc>
          <w:tcPr>
            <w:tcW w:w="1198" w:type="dxa"/>
            <w:hideMark/>
          </w:tcPr>
          <w:p w:rsidR="00B318F4" w:rsidRPr="004B0FC2" w:rsidRDefault="00B318F4" w:rsidP="00B318F4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color w:val="000000"/>
                <w:lang w:val="gl-ES"/>
              </w:rPr>
              <w:t>491,7</w:t>
            </w:r>
          </w:p>
        </w:tc>
        <w:tc>
          <w:tcPr>
            <w:tcW w:w="1198" w:type="dxa"/>
            <w:hideMark/>
          </w:tcPr>
          <w:p w:rsidR="00B318F4" w:rsidRPr="004B0FC2" w:rsidRDefault="00B318F4" w:rsidP="00B318F4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color w:val="000000"/>
                <w:lang w:val="gl-ES"/>
              </w:rPr>
              <w:t>501,4</w:t>
            </w:r>
          </w:p>
        </w:tc>
        <w:tc>
          <w:tcPr>
            <w:tcW w:w="1176" w:type="dxa"/>
            <w:noWrap/>
            <w:hideMark/>
          </w:tcPr>
          <w:p w:rsidR="00B318F4" w:rsidRPr="004B0FC2" w:rsidRDefault="00B318F4" w:rsidP="00B318F4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color w:val="000000"/>
                <w:lang w:val="gl-ES"/>
              </w:rPr>
              <w:t>9,7</w:t>
            </w:r>
          </w:p>
        </w:tc>
        <w:tc>
          <w:tcPr>
            <w:tcW w:w="1240" w:type="dxa"/>
            <w:noWrap/>
            <w:hideMark/>
          </w:tcPr>
          <w:p w:rsidR="00B318F4" w:rsidRPr="004B0FC2" w:rsidRDefault="00B318F4" w:rsidP="00B318F4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color w:val="000000"/>
                <w:lang w:val="gl-ES"/>
              </w:rPr>
              <w:t>-21,7</w:t>
            </w:r>
          </w:p>
        </w:tc>
      </w:tr>
      <w:tr w:rsidR="00B318F4" w:rsidRPr="004B0FC2" w:rsidTr="00B318F4">
        <w:trPr>
          <w:cnfStyle w:val="000000100000"/>
          <w:trHeight w:val="300"/>
        </w:trPr>
        <w:tc>
          <w:tcPr>
            <w:cnfStyle w:val="001000000000"/>
            <w:tcW w:w="3530" w:type="dxa"/>
            <w:hideMark/>
          </w:tcPr>
          <w:p w:rsidR="00B318F4" w:rsidRPr="004B0FC2" w:rsidRDefault="00B318F4" w:rsidP="00B318F4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color w:val="000000"/>
                <w:lang w:val="gl-ES"/>
              </w:rPr>
              <w:t>De 16 a 24 anos</w:t>
            </w:r>
          </w:p>
        </w:tc>
        <w:tc>
          <w:tcPr>
            <w:tcW w:w="1198" w:type="dxa"/>
            <w:hideMark/>
          </w:tcPr>
          <w:p w:rsidR="00B318F4" w:rsidRPr="004B0FC2" w:rsidRDefault="00B318F4" w:rsidP="00B318F4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color w:val="000000"/>
                <w:lang w:val="gl-ES"/>
              </w:rPr>
              <w:t>33,8</w:t>
            </w:r>
          </w:p>
        </w:tc>
        <w:tc>
          <w:tcPr>
            <w:tcW w:w="1198" w:type="dxa"/>
            <w:hideMark/>
          </w:tcPr>
          <w:p w:rsidR="00B318F4" w:rsidRPr="004B0FC2" w:rsidRDefault="00B318F4" w:rsidP="00B318F4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color w:val="000000"/>
                <w:lang w:val="gl-ES"/>
              </w:rPr>
              <w:t>16,4</w:t>
            </w:r>
          </w:p>
        </w:tc>
        <w:tc>
          <w:tcPr>
            <w:tcW w:w="1198" w:type="dxa"/>
            <w:hideMark/>
          </w:tcPr>
          <w:p w:rsidR="00B318F4" w:rsidRPr="004B0FC2" w:rsidRDefault="00B318F4" w:rsidP="00B318F4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color w:val="000000"/>
                <w:lang w:val="gl-ES"/>
              </w:rPr>
              <w:t>19,2</w:t>
            </w:r>
          </w:p>
        </w:tc>
        <w:tc>
          <w:tcPr>
            <w:tcW w:w="1176" w:type="dxa"/>
            <w:noWrap/>
            <w:hideMark/>
          </w:tcPr>
          <w:p w:rsidR="00B318F4" w:rsidRPr="004B0FC2" w:rsidRDefault="00B318F4" w:rsidP="00B318F4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color w:val="000000"/>
                <w:lang w:val="gl-ES"/>
              </w:rPr>
              <w:t>2,8</w:t>
            </w:r>
          </w:p>
        </w:tc>
        <w:tc>
          <w:tcPr>
            <w:tcW w:w="1240" w:type="dxa"/>
            <w:noWrap/>
            <w:hideMark/>
          </w:tcPr>
          <w:p w:rsidR="00B318F4" w:rsidRPr="004B0FC2" w:rsidRDefault="00B318F4" w:rsidP="00B318F4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color w:val="000000"/>
                <w:lang w:val="gl-ES"/>
              </w:rPr>
              <w:t>-14,6</w:t>
            </w:r>
          </w:p>
        </w:tc>
      </w:tr>
      <w:tr w:rsidR="00B318F4" w:rsidRPr="004B0FC2" w:rsidTr="00B318F4">
        <w:trPr>
          <w:trHeight w:val="300"/>
        </w:trPr>
        <w:tc>
          <w:tcPr>
            <w:cnfStyle w:val="001000000000"/>
            <w:tcW w:w="3530" w:type="dxa"/>
            <w:hideMark/>
          </w:tcPr>
          <w:p w:rsidR="00B318F4" w:rsidRPr="004B0FC2" w:rsidRDefault="00B318F4" w:rsidP="00B318F4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color w:val="000000"/>
                <w:lang w:val="gl-ES"/>
              </w:rPr>
              <w:t>De 25 a 34 anos</w:t>
            </w:r>
          </w:p>
        </w:tc>
        <w:tc>
          <w:tcPr>
            <w:tcW w:w="1198" w:type="dxa"/>
            <w:hideMark/>
          </w:tcPr>
          <w:p w:rsidR="00B318F4" w:rsidRPr="004B0FC2" w:rsidRDefault="00B318F4" w:rsidP="00B318F4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color w:val="000000"/>
                <w:lang w:val="gl-ES"/>
              </w:rPr>
              <w:t>148,2</w:t>
            </w:r>
          </w:p>
        </w:tc>
        <w:tc>
          <w:tcPr>
            <w:tcW w:w="1198" w:type="dxa"/>
            <w:hideMark/>
          </w:tcPr>
          <w:p w:rsidR="00B318F4" w:rsidRPr="004B0FC2" w:rsidRDefault="00B318F4" w:rsidP="00B318F4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color w:val="000000"/>
                <w:lang w:val="gl-ES"/>
              </w:rPr>
              <w:t>97,4</w:t>
            </w:r>
          </w:p>
        </w:tc>
        <w:tc>
          <w:tcPr>
            <w:tcW w:w="1198" w:type="dxa"/>
            <w:hideMark/>
          </w:tcPr>
          <w:p w:rsidR="00B318F4" w:rsidRPr="004B0FC2" w:rsidRDefault="00B318F4" w:rsidP="00B318F4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color w:val="000000"/>
                <w:lang w:val="gl-ES"/>
              </w:rPr>
              <w:t>93,7</w:t>
            </w:r>
          </w:p>
        </w:tc>
        <w:tc>
          <w:tcPr>
            <w:tcW w:w="1176" w:type="dxa"/>
            <w:noWrap/>
            <w:hideMark/>
          </w:tcPr>
          <w:p w:rsidR="00B318F4" w:rsidRPr="004B0FC2" w:rsidRDefault="00B318F4" w:rsidP="00B318F4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color w:val="000000"/>
                <w:lang w:val="gl-ES"/>
              </w:rPr>
              <w:t>-3,7</w:t>
            </w:r>
          </w:p>
        </w:tc>
        <w:tc>
          <w:tcPr>
            <w:tcW w:w="1240" w:type="dxa"/>
            <w:noWrap/>
            <w:hideMark/>
          </w:tcPr>
          <w:p w:rsidR="00B318F4" w:rsidRPr="004B0FC2" w:rsidRDefault="00B318F4" w:rsidP="00B318F4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color w:val="000000"/>
                <w:lang w:val="gl-ES"/>
              </w:rPr>
              <w:t>-54,5</w:t>
            </w:r>
          </w:p>
        </w:tc>
      </w:tr>
      <w:tr w:rsidR="00B318F4" w:rsidRPr="004B0FC2" w:rsidTr="00B318F4">
        <w:trPr>
          <w:cnfStyle w:val="000000100000"/>
          <w:trHeight w:val="300"/>
        </w:trPr>
        <w:tc>
          <w:tcPr>
            <w:cnfStyle w:val="001000000000"/>
            <w:tcW w:w="3530" w:type="dxa"/>
            <w:hideMark/>
          </w:tcPr>
          <w:p w:rsidR="00B318F4" w:rsidRPr="004B0FC2" w:rsidRDefault="00B318F4" w:rsidP="00B318F4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color w:val="000000"/>
                <w:lang w:val="gl-ES"/>
              </w:rPr>
              <w:t>De 35 a 44 anos</w:t>
            </w:r>
          </w:p>
        </w:tc>
        <w:tc>
          <w:tcPr>
            <w:tcW w:w="1198" w:type="dxa"/>
            <w:hideMark/>
          </w:tcPr>
          <w:p w:rsidR="00B318F4" w:rsidRPr="004B0FC2" w:rsidRDefault="00B318F4" w:rsidP="00B318F4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color w:val="000000"/>
                <w:lang w:val="gl-ES"/>
              </w:rPr>
              <w:t>150,8</w:t>
            </w:r>
          </w:p>
        </w:tc>
        <w:tc>
          <w:tcPr>
            <w:tcW w:w="1198" w:type="dxa"/>
            <w:hideMark/>
          </w:tcPr>
          <w:p w:rsidR="00B318F4" w:rsidRPr="004B0FC2" w:rsidRDefault="00B318F4" w:rsidP="00B318F4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color w:val="000000"/>
                <w:lang w:val="gl-ES"/>
              </w:rPr>
              <w:t>154,2</w:t>
            </w:r>
          </w:p>
        </w:tc>
        <w:tc>
          <w:tcPr>
            <w:tcW w:w="1198" w:type="dxa"/>
            <w:hideMark/>
          </w:tcPr>
          <w:p w:rsidR="00B318F4" w:rsidRPr="004B0FC2" w:rsidRDefault="00B318F4" w:rsidP="00B318F4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color w:val="000000"/>
                <w:lang w:val="gl-ES"/>
              </w:rPr>
              <w:t>153,8</w:t>
            </w:r>
          </w:p>
        </w:tc>
        <w:tc>
          <w:tcPr>
            <w:tcW w:w="1176" w:type="dxa"/>
            <w:noWrap/>
            <w:hideMark/>
          </w:tcPr>
          <w:p w:rsidR="00B318F4" w:rsidRPr="004B0FC2" w:rsidRDefault="00B318F4" w:rsidP="00B318F4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color w:val="000000"/>
                <w:lang w:val="gl-ES"/>
              </w:rPr>
              <w:t>-0,4</w:t>
            </w:r>
          </w:p>
        </w:tc>
        <w:tc>
          <w:tcPr>
            <w:tcW w:w="1240" w:type="dxa"/>
            <w:noWrap/>
            <w:hideMark/>
          </w:tcPr>
          <w:p w:rsidR="00B318F4" w:rsidRPr="004B0FC2" w:rsidRDefault="00B318F4" w:rsidP="00B318F4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color w:val="000000"/>
                <w:lang w:val="gl-ES"/>
              </w:rPr>
              <w:t>3</w:t>
            </w:r>
          </w:p>
        </w:tc>
      </w:tr>
      <w:tr w:rsidR="00B318F4" w:rsidRPr="004B0FC2" w:rsidTr="00B318F4">
        <w:trPr>
          <w:trHeight w:val="300"/>
        </w:trPr>
        <w:tc>
          <w:tcPr>
            <w:cnfStyle w:val="001000000000"/>
            <w:tcW w:w="3530" w:type="dxa"/>
            <w:hideMark/>
          </w:tcPr>
          <w:p w:rsidR="00B318F4" w:rsidRPr="004B0FC2" w:rsidRDefault="00B318F4" w:rsidP="00B318F4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color w:val="000000"/>
                <w:lang w:val="gl-ES"/>
              </w:rPr>
              <w:t>De 45 a 54 anos</w:t>
            </w:r>
          </w:p>
        </w:tc>
        <w:tc>
          <w:tcPr>
            <w:tcW w:w="1198" w:type="dxa"/>
            <w:hideMark/>
          </w:tcPr>
          <w:p w:rsidR="00B318F4" w:rsidRPr="004B0FC2" w:rsidRDefault="00B318F4" w:rsidP="00B318F4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color w:val="000000"/>
                <w:lang w:val="gl-ES"/>
              </w:rPr>
              <w:t>118</w:t>
            </w:r>
          </w:p>
        </w:tc>
        <w:tc>
          <w:tcPr>
            <w:tcW w:w="1198" w:type="dxa"/>
            <w:hideMark/>
          </w:tcPr>
          <w:p w:rsidR="00B318F4" w:rsidRPr="004B0FC2" w:rsidRDefault="00B318F4" w:rsidP="00B318F4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color w:val="000000"/>
                <w:lang w:val="gl-ES"/>
              </w:rPr>
              <w:t>132,4</w:t>
            </w:r>
          </w:p>
        </w:tc>
        <w:tc>
          <w:tcPr>
            <w:tcW w:w="1198" w:type="dxa"/>
            <w:hideMark/>
          </w:tcPr>
          <w:p w:rsidR="00B318F4" w:rsidRPr="004B0FC2" w:rsidRDefault="00B318F4" w:rsidP="00B318F4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color w:val="000000"/>
                <w:lang w:val="gl-ES"/>
              </w:rPr>
              <w:t>139,5</w:t>
            </w:r>
          </w:p>
        </w:tc>
        <w:tc>
          <w:tcPr>
            <w:tcW w:w="1176" w:type="dxa"/>
            <w:noWrap/>
            <w:hideMark/>
          </w:tcPr>
          <w:p w:rsidR="00B318F4" w:rsidRPr="004B0FC2" w:rsidRDefault="00B318F4" w:rsidP="00B318F4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color w:val="000000"/>
                <w:lang w:val="gl-ES"/>
              </w:rPr>
              <w:t>7,1</w:t>
            </w:r>
          </w:p>
        </w:tc>
        <w:tc>
          <w:tcPr>
            <w:tcW w:w="1240" w:type="dxa"/>
            <w:noWrap/>
            <w:hideMark/>
          </w:tcPr>
          <w:p w:rsidR="00B318F4" w:rsidRPr="004B0FC2" w:rsidRDefault="00B318F4" w:rsidP="00B318F4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color w:val="000000"/>
                <w:lang w:val="gl-ES"/>
              </w:rPr>
              <w:t>21,5</w:t>
            </w:r>
          </w:p>
        </w:tc>
      </w:tr>
      <w:tr w:rsidR="00B318F4" w:rsidRPr="004B0FC2" w:rsidTr="00B318F4">
        <w:trPr>
          <w:cnfStyle w:val="000000100000"/>
          <w:trHeight w:val="300"/>
        </w:trPr>
        <w:tc>
          <w:tcPr>
            <w:cnfStyle w:val="001000000000"/>
            <w:tcW w:w="3530" w:type="dxa"/>
            <w:hideMark/>
          </w:tcPr>
          <w:p w:rsidR="00B318F4" w:rsidRPr="004B0FC2" w:rsidRDefault="00B318F4" w:rsidP="00B318F4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color w:val="000000"/>
                <w:lang w:val="gl-ES"/>
              </w:rPr>
              <w:t>De 55 e máis anos</w:t>
            </w:r>
          </w:p>
        </w:tc>
        <w:tc>
          <w:tcPr>
            <w:tcW w:w="1198" w:type="dxa"/>
            <w:hideMark/>
          </w:tcPr>
          <w:p w:rsidR="00B318F4" w:rsidRPr="004B0FC2" w:rsidRDefault="00B318F4" w:rsidP="00B318F4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color w:val="000000"/>
                <w:lang w:val="gl-ES"/>
              </w:rPr>
              <w:t>72,3</w:t>
            </w:r>
          </w:p>
        </w:tc>
        <w:tc>
          <w:tcPr>
            <w:tcW w:w="1198" w:type="dxa"/>
            <w:hideMark/>
          </w:tcPr>
          <w:p w:rsidR="00B318F4" w:rsidRPr="004B0FC2" w:rsidRDefault="00B318F4" w:rsidP="00B318F4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color w:val="000000"/>
                <w:lang w:val="gl-ES"/>
              </w:rPr>
              <w:t>91,3</w:t>
            </w:r>
          </w:p>
        </w:tc>
        <w:tc>
          <w:tcPr>
            <w:tcW w:w="1198" w:type="dxa"/>
            <w:hideMark/>
          </w:tcPr>
          <w:p w:rsidR="00B318F4" w:rsidRPr="004B0FC2" w:rsidRDefault="00B318F4" w:rsidP="00B318F4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color w:val="000000"/>
                <w:lang w:val="gl-ES"/>
              </w:rPr>
              <w:t>95,3</w:t>
            </w:r>
          </w:p>
        </w:tc>
        <w:tc>
          <w:tcPr>
            <w:tcW w:w="1176" w:type="dxa"/>
            <w:noWrap/>
            <w:hideMark/>
          </w:tcPr>
          <w:p w:rsidR="00B318F4" w:rsidRPr="004B0FC2" w:rsidRDefault="00B318F4" w:rsidP="00B318F4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color w:val="000000"/>
                <w:lang w:val="gl-ES"/>
              </w:rPr>
              <w:t>4</w:t>
            </w:r>
          </w:p>
        </w:tc>
        <w:tc>
          <w:tcPr>
            <w:tcW w:w="1240" w:type="dxa"/>
            <w:noWrap/>
            <w:hideMark/>
          </w:tcPr>
          <w:p w:rsidR="00B318F4" w:rsidRPr="004B0FC2" w:rsidRDefault="00B318F4" w:rsidP="00B318F4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4B0FC2">
              <w:rPr>
                <w:rFonts w:ascii="Calibri" w:eastAsia="Times New Roman" w:hAnsi="Calibri" w:cs="Times New Roman"/>
                <w:color w:val="000000"/>
                <w:lang w:val="gl-ES"/>
              </w:rPr>
              <w:t>23</w:t>
            </w:r>
          </w:p>
        </w:tc>
      </w:tr>
    </w:tbl>
    <w:p w:rsidR="00B318F4" w:rsidRPr="00DF4EF8" w:rsidRDefault="00B318F4" w:rsidP="00B318F4">
      <w:pPr>
        <w:jc w:val="both"/>
        <w:rPr>
          <w:rFonts w:ascii="Arial" w:hAnsi="Arial" w:cs="Arial"/>
          <w:i/>
          <w:sz w:val="24"/>
          <w:szCs w:val="24"/>
          <w:lang w:val="gl-ES"/>
        </w:rPr>
      </w:pPr>
      <w:r w:rsidRPr="00DF4EF8">
        <w:rPr>
          <w:rFonts w:ascii="Arial" w:hAnsi="Arial" w:cs="Arial"/>
          <w:i/>
          <w:sz w:val="24"/>
          <w:szCs w:val="24"/>
          <w:lang w:val="gl-ES"/>
        </w:rPr>
        <w:t>Fonte: EPA. INE</w:t>
      </w:r>
    </w:p>
    <w:p w:rsidR="00F44A5B" w:rsidRDefault="00E1611D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Desde o ano 2008 todo o emprego que se destruíu foi entre as menores de 35 anos</w:t>
      </w:r>
      <w:r w:rsidR="00DF4EF8">
        <w:rPr>
          <w:rFonts w:ascii="Arial" w:hAnsi="Arial" w:cs="Arial"/>
          <w:sz w:val="24"/>
          <w:szCs w:val="24"/>
          <w:lang w:val="gl-ES"/>
        </w:rPr>
        <w:t>. E</w:t>
      </w:r>
      <w:r>
        <w:rPr>
          <w:rFonts w:ascii="Arial" w:hAnsi="Arial" w:cs="Arial"/>
          <w:sz w:val="24"/>
          <w:szCs w:val="24"/>
          <w:lang w:val="gl-ES"/>
        </w:rPr>
        <w:t>n concreto</w:t>
      </w:r>
      <w:r w:rsidR="00DF4EF8">
        <w:rPr>
          <w:rFonts w:ascii="Arial" w:hAnsi="Arial" w:cs="Arial"/>
          <w:sz w:val="24"/>
          <w:szCs w:val="24"/>
          <w:lang w:val="gl-ES"/>
        </w:rPr>
        <w:t>,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>
        <w:rPr>
          <w:rFonts w:ascii="Arial" w:hAnsi="Arial" w:cs="Arial"/>
          <w:sz w:val="24"/>
          <w:szCs w:val="24"/>
          <w:lang w:val="gl-ES"/>
        </w:rPr>
        <w:t>69.100 mulleres ocupadas menos</w:t>
      </w:r>
      <w:r w:rsidR="00DF4EF8">
        <w:rPr>
          <w:rFonts w:ascii="Arial" w:hAnsi="Arial" w:cs="Arial"/>
          <w:sz w:val="24"/>
          <w:szCs w:val="24"/>
          <w:lang w:val="gl-ES"/>
        </w:rPr>
        <w:t xml:space="preserve">. Pola </w:t>
      </w:r>
      <w:r>
        <w:rPr>
          <w:rFonts w:ascii="Arial" w:hAnsi="Arial" w:cs="Arial"/>
          <w:sz w:val="24"/>
          <w:szCs w:val="24"/>
          <w:lang w:val="gl-ES"/>
        </w:rPr>
        <w:t>contra</w:t>
      </w:r>
      <w:r w:rsidR="00DF4EF8">
        <w:rPr>
          <w:rFonts w:ascii="Arial" w:hAnsi="Arial" w:cs="Arial"/>
          <w:sz w:val="24"/>
          <w:szCs w:val="24"/>
          <w:lang w:val="gl-ES"/>
        </w:rPr>
        <w:t>,</w:t>
      </w:r>
      <w:r>
        <w:rPr>
          <w:rFonts w:ascii="Arial" w:hAnsi="Arial" w:cs="Arial"/>
          <w:sz w:val="24"/>
          <w:szCs w:val="24"/>
          <w:lang w:val="gl-ES"/>
        </w:rPr>
        <w:t xml:space="preserve"> a partir desta idade medrou a ocupación</w:t>
      </w:r>
      <w:r w:rsidR="000D3342">
        <w:rPr>
          <w:rFonts w:ascii="Arial" w:hAnsi="Arial" w:cs="Arial"/>
          <w:sz w:val="24"/>
          <w:szCs w:val="24"/>
          <w:lang w:val="gl-ES"/>
        </w:rPr>
        <w:t xml:space="preserve">, </w:t>
      </w:r>
      <w:r>
        <w:rPr>
          <w:rFonts w:ascii="Arial" w:hAnsi="Arial" w:cs="Arial"/>
          <w:sz w:val="24"/>
          <w:szCs w:val="24"/>
          <w:lang w:val="gl-ES"/>
        </w:rPr>
        <w:t xml:space="preserve">24.500 ocupadas máis. </w:t>
      </w:r>
      <w:r w:rsidR="00DF4EF8">
        <w:rPr>
          <w:rFonts w:ascii="Arial" w:hAnsi="Arial" w:cs="Arial"/>
          <w:sz w:val="24"/>
          <w:szCs w:val="24"/>
          <w:lang w:val="gl-ES"/>
        </w:rPr>
        <w:t>E n</w:t>
      </w:r>
      <w:r>
        <w:rPr>
          <w:rFonts w:ascii="Arial" w:hAnsi="Arial" w:cs="Arial"/>
          <w:sz w:val="24"/>
          <w:szCs w:val="24"/>
          <w:lang w:val="gl-ES"/>
        </w:rPr>
        <w:t>on s</w:t>
      </w:r>
      <w:r w:rsidR="00DF4EF8">
        <w:rPr>
          <w:rFonts w:ascii="Arial" w:hAnsi="Arial" w:cs="Arial"/>
          <w:sz w:val="24"/>
          <w:szCs w:val="24"/>
          <w:lang w:val="gl-ES"/>
        </w:rPr>
        <w:t>ó</w:t>
      </w:r>
      <w:r>
        <w:rPr>
          <w:rFonts w:ascii="Arial" w:hAnsi="Arial" w:cs="Arial"/>
          <w:sz w:val="24"/>
          <w:szCs w:val="24"/>
          <w:lang w:val="gl-ES"/>
        </w:rPr>
        <w:t xml:space="preserve"> minorou a ocupación, senón que se avellentou</w:t>
      </w:r>
      <w:r w:rsidR="00DF4EF8">
        <w:rPr>
          <w:rFonts w:ascii="Arial" w:hAnsi="Arial" w:cs="Arial"/>
          <w:sz w:val="24"/>
          <w:szCs w:val="24"/>
          <w:lang w:val="gl-ES"/>
        </w:rPr>
        <w:t>. N</w:t>
      </w:r>
      <w:r>
        <w:rPr>
          <w:rFonts w:ascii="Arial" w:hAnsi="Arial" w:cs="Arial"/>
          <w:sz w:val="24"/>
          <w:szCs w:val="24"/>
          <w:lang w:val="gl-ES"/>
        </w:rPr>
        <w:t>o ano 2009 o 34,7% das ocupadas en G</w:t>
      </w:r>
      <w:r w:rsidR="00B533CD">
        <w:rPr>
          <w:rFonts w:ascii="Arial" w:hAnsi="Arial" w:cs="Arial"/>
          <w:sz w:val="24"/>
          <w:szCs w:val="24"/>
          <w:lang w:val="gl-ES"/>
        </w:rPr>
        <w:t>aliza</w:t>
      </w:r>
      <w:r w:rsidR="00DF4EF8">
        <w:rPr>
          <w:rFonts w:ascii="Arial" w:hAnsi="Arial" w:cs="Arial"/>
          <w:sz w:val="24"/>
          <w:szCs w:val="24"/>
          <w:lang w:val="gl-ES"/>
        </w:rPr>
        <w:t xml:space="preserve"> tiña menos de 35 anos;</w:t>
      </w:r>
      <w:r>
        <w:rPr>
          <w:rFonts w:ascii="Arial" w:hAnsi="Arial" w:cs="Arial"/>
          <w:sz w:val="24"/>
          <w:szCs w:val="24"/>
          <w:lang w:val="gl-ES"/>
        </w:rPr>
        <w:t xml:space="preserve"> en 2017 </w:t>
      </w:r>
      <w:r w:rsidR="006C4606">
        <w:rPr>
          <w:rFonts w:ascii="Arial" w:hAnsi="Arial" w:cs="Arial"/>
          <w:sz w:val="24"/>
          <w:szCs w:val="24"/>
          <w:lang w:val="gl-ES"/>
        </w:rPr>
        <w:t>soamente</w:t>
      </w:r>
      <w:r>
        <w:rPr>
          <w:rFonts w:ascii="Arial" w:hAnsi="Arial" w:cs="Arial"/>
          <w:sz w:val="24"/>
          <w:szCs w:val="24"/>
          <w:lang w:val="gl-ES"/>
        </w:rPr>
        <w:t xml:space="preserve"> son o 22,5% as menores desta idade</w:t>
      </w:r>
      <w:r w:rsidR="004B0FC2">
        <w:rPr>
          <w:rFonts w:ascii="Arial" w:hAnsi="Arial" w:cs="Arial"/>
          <w:sz w:val="24"/>
          <w:szCs w:val="24"/>
          <w:lang w:val="gl-ES"/>
        </w:rPr>
        <w:t>, 12,2 puntos menos</w:t>
      </w:r>
      <w:r>
        <w:rPr>
          <w:rFonts w:ascii="Arial" w:hAnsi="Arial" w:cs="Arial"/>
          <w:sz w:val="24"/>
          <w:szCs w:val="24"/>
          <w:lang w:val="gl-ES"/>
        </w:rPr>
        <w:t>.</w:t>
      </w:r>
    </w:p>
    <w:p w:rsidR="000D3342" w:rsidRPr="000D3342" w:rsidRDefault="000D3342" w:rsidP="000D3342">
      <w:pPr>
        <w:jc w:val="center"/>
        <w:rPr>
          <w:rFonts w:ascii="Arial" w:hAnsi="Arial" w:cs="Arial"/>
          <w:b/>
          <w:sz w:val="24"/>
          <w:szCs w:val="24"/>
          <w:lang w:val="gl-ES"/>
        </w:rPr>
      </w:pPr>
      <w:r w:rsidRPr="000D3342">
        <w:rPr>
          <w:rFonts w:ascii="Arial" w:hAnsi="Arial" w:cs="Arial"/>
          <w:b/>
          <w:sz w:val="24"/>
          <w:szCs w:val="24"/>
          <w:lang w:val="gl-ES"/>
        </w:rPr>
        <w:t>O 46,8% das mulleres ocupadas en G</w:t>
      </w:r>
      <w:r w:rsidR="00B533CD">
        <w:rPr>
          <w:rFonts w:ascii="Arial" w:hAnsi="Arial" w:cs="Arial"/>
          <w:b/>
          <w:sz w:val="24"/>
          <w:szCs w:val="24"/>
          <w:lang w:val="gl-ES"/>
        </w:rPr>
        <w:t>aliza</w:t>
      </w:r>
      <w:r w:rsidRPr="000D3342">
        <w:rPr>
          <w:rFonts w:ascii="Arial" w:hAnsi="Arial" w:cs="Arial"/>
          <w:b/>
          <w:sz w:val="24"/>
          <w:szCs w:val="24"/>
          <w:lang w:val="gl-ES"/>
        </w:rPr>
        <w:t xml:space="preserve"> t</w:t>
      </w:r>
      <w:r w:rsidR="006C4606">
        <w:rPr>
          <w:rFonts w:ascii="Arial" w:hAnsi="Arial" w:cs="Arial"/>
          <w:b/>
          <w:sz w:val="24"/>
          <w:szCs w:val="24"/>
          <w:lang w:val="gl-ES"/>
        </w:rPr>
        <w:t>en</w:t>
      </w:r>
      <w:r w:rsidRPr="000D3342">
        <w:rPr>
          <w:rFonts w:ascii="Arial" w:hAnsi="Arial" w:cs="Arial"/>
          <w:b/>
          <w:sz w:val="24"/>
          <w:szCs w:val="24"/>
          <w:lang w:val="gl-ES"/>
        </w:rPr>
        <w:t xml:space="preserve"> máis de 45 anos.</w:t>
      </w:r>
    </w:p>
    <w:p w:rsidR="00B469D1" w:rsidRDefault="004B0FC2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Pola contra</w:t>
      </w:r>
      <w:r w:rsidR="006C4606">
        <w:rPr>
          <w:rFonts w:ascii="Arial" w:hAnsi="Arial" w:cs="Arial"/>
          <w:sz w:val="24"/>
          <w:szCs w:val="24"/>
          <w:lang w:val="gl-ES"/>
        </w:rPr>
        <w:t>,</w:t>
      </w:r>
      <w:r>
        <w:rPr>
          <w:rFonts w:ascii="Arial" w:hAnsi="Arial" w:cs="Arial"/>
          <w:sz w:val="24"/>
          <w:szCs w:val="24"/>
          <w:lang w:val="gl-ES"/>
        </w:rPr>
        <w:t xml:space="preserve"> as maiores de 45 anos pasaron do 36,3%</w:t>
      </w:r>
      <w:r w:rsidR="004E08C4">
        <w:rPr>
          <w:rFonts w:ascii="Arial" w:hAnsi="Arial" w:cs="Arial"/>
          <w:sz w:val="24"/>
          <w:szCs w:val="24"/>
          <w:lang w:val="gl-ES"/>
        </w:rPr>
        <w:t xml:space="preserve"> ao </w:t>
      </w:r>
      <w:r>
        <w:rPr>
          <w:rFonts w:ascii="Arial" w:hAnsi="Arial" w:cs="Arial"/>
          <w:sz w:val="24"/>
          <w:szCs w:val="24"/>
          <w:lang w:val="gl-ES"/>
        </w:rPr>
        <w:t>46,8%</w:t>
      </w:r>
      <w:r w:rsidR="006C4606">
        <w:rPr>
          <w:rFonts w:ascii="Arial" w:hAnsi="Arial" w:cs="Arial"/>
          <w:sz w:val="24"/>
          <w:szCs w:val="24"/>
          <w:lang w:val="gl-ES"/>
        </w:rPr>
        <w:t xml:space="preserve"> de taxa de ocupación</w:t>
      </w:r>
      <w:r>
        <w:rPr>
          <w:rFonts w:ascii="Arial" w:hAnsi="Arial" w:cs="Arial"/>
          <w:sz w:val="24"/>
          <w:szCs w:val="24"/>
          <w:lang w:val="gl-ES"/>
        </w:rPr>
        <w:t>, máis de 10 puntos superior</w:t>
      </w:r>
      <w:r w:rsidR="006C4606">
        <w:rPr>
          <w:rFonts w:ascii="Arial" w:hAnsi="Arial" w:cs="Arial"/>
          <w:sz w:val="24"/>
          <w:szCs w:val="24"/>
          <w:lang w:val="gl-ES"/>
        </w:rPr>
        <w:t xml:space="preserve"> a 2009. Deste datos tírase que</w:t>
      </w:r>
      <w:r>
        <w:rPr>
          <w:rFonts w:ascii="Arial" w:hAnsi="Arial" w:cs="Arial"/>
          <w:sz w:val="24"/>
          <w:szCs w:val="24"/>
          <w:lang w:val="gl-ES"/>
        </w:rPr>
        <w:t xml:space="preserve"> preto do 50% das mulleres con emprego en G</w:t>
      </w:r>
      <w:r w:rsidR="00B533CD">
        <w:rPr>
          <w:rFonts w:ascii="Arial" w:hAnsi="Arial" w:cs="Arial"/>
          <w:sz w:val="24"/>
          <w:szCs w:val="24"/>
          <w:lang w:val="gl-ES"/>
        </w:rPr>
        <w:t>aliza</w:t>
      </w:r>
      <w:r>
        <w:rPr>
          <w:rFonts w:ascii="Arial" w:hAnsi="Arial" w:cs="Arial"/>
          <w:sz w:val="24"/>
          <w:szCs w:val="24"/>
          <w:lang w:val="gl-ES"/>
        </w:rPr>
        <w:t xml:space="preserve"> teñen máis de 45 anos.</w:t>
      </w:r>
    </w:p>
    <w:p w:rsidR="004B0FC2" w:rsidRDefault="004B0FC2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lastRenderedPageBreak/>
        <w:t xml:space="preserve">No último ano medrou lixeiramente a ocupación feminina, un 1,9%, </w:t>
      </w:r>
      <w:r w:rsidR="006C4606">
        <w:rPr>
          <w:rFonts w:ascii="Arial" w:hAnsi="Arial" w:cs="Arial"/>
          <w:sz w:val="24"/>
          <w:szCs w:val="24"/>
          <w:lang w:val="gl-ES"/>
        </w:rPr>
        <w:t xml:space="preserve">o que </w:t>
      </w:r>
      <w:r>
        <w:rPr>
          <w:rFonts w:ascii="Arial" w:hAnsi="Arial" w:cs="Arial"/>
          <w:sz w:val="24"/>
          <w:szCs w:val="24"/>
          <w:lang w:val="gl-ES"/>
        </w:rPr>
        <w:t>en te</w:t>
      </w:r>
      <w:r w:rsidR="006C4606">
        <w:rPr>
          <w:rFonts w:ascii="Arial" w:hAnsi="Arial" w:cs="Arial"/>
          <w:sz w:val="24"/>
          <w:szCs w:val="24"/>
          <w:lang w:val="gl-ES"/>
        </w:rPr>
        <w:t>r</w:t>
      </w:r>
      <w:r>
        <w:rPr>
          <w:rFonts w:ascii="Arial" w:hAnsi="Arial" w:cs="Arial"/>
          <w:sz w:val="24"/>
          <w:szCs w:val="24"/>
          <w:lang w:val="gl-ES"/>
        </w:rPr>
        <w:t>mos absol</w:t>
      </w:r>
      <w:r w:rsidR="000D3342">
        <w:rPr>
          <w:rFonts w:ascii="Arial" w:hAnsi="Arial" w:cs="Arial"/>
          <w:sz w:val="24"/>
          <w:szCs w:val="24"/>
          <w:lang w:val="gl-ES"/>
        </w:rPr>
        <w:t>utos equivale a 9.700 empregada</w:t>
      </w:r>
      <w:r w:rsidR="006C4606">
        <w:rPr>
          <w:rFonts w:ascii="Arial" w:hAnsi="Arial" w:cs="Arial"/>
          <w:sz w:val="24"/>
          <w:szCs w:val="24"/>
          <w:lang w:val="gl-ES"/>
        </w:rPr>
        <w:t>s</w:t>
      </w:r>
      <w:r>
        <w:rPr>
          <w:rFonts w:ascii="Arial" w:hAnsi="Arial" w:cs="Arial"/>
          <w:sz w:val="24"/>
          <w:szCs w:val="24"/>
          <w:lang w:val="gl-ES"/>
        </w:rPr>
        <w:t xml:space="preserve">. </w:t>
      </w:r>
      <w:r w:rsidR="000D3342">
        <w:rPr>
          <w:rFonts w:ascii="Arial" w:hAnsi="Arial" w:cs="Arial"/>
          <w:sz w:val="24"/>
          <w:szCs w:val="24"/>
          <w:lang w:val="gl-ES"/>
        </w:rPr>
        <w:t>E</w:t>
      </w:r>
      <w:r>
        <w:rPr>
          <w:rFonts w:ascii="Arial" w:hAnsi="Arial" w:cs="Arial"/>
          <w:sz w:val="24"/>
          <w:szCs w:val="24"/>
          <w:lang w:val="gl-ES"/>
        </w:rPr>
        <w:t>ntre as menores de 24 estímase que medro</w:t>
      </w:r>
      <w:r w:rsidR="000D3342">
        <w:rPr>
          <w:rFonts w:ascii="Arial" w:hAnsi="Arial" w:cs="Arial"/>
          <w:sz w:val="24"/>
          <w:szCs w:val="24"/>
          <w:lang w:val="gl-ES"/>
        </w:rPr>
        <w:t>u a ocupación en 2.800 mulleres</w:t>
      </w:r>
      <w:r w:rsidR="006C4606">
        <w:rPr>
          <w:rFonts w:ascii="Arial" w:hAnsi="Arial" w:cs="Arial"/>
          <w:sz w:val="24"/>
          <w:szCs w:val="24"/>
          <w:lang w:val="gl-ES"/>
        </w:rPr>
        <w:t xml:space="preserve">, </w:t>
      </w:r>
      <w:r>
        <w:rPr>
          <w:rFonts w:ascii="Arial" w:hAnsi="Arial" w:cs="Arial"/>
          <w:sz w:val="24"/>
          <w:szCs w:val="24"/>
          <w:lang w:val="gl-ES"/>
        </w:rPr>
        <w:t>pero onde máis se incrementou foi entre as maiores de 45 anos, con 7.100 ocupadas máis.</w:t>
      </w:r>
    </w:p>
    <w:p w:rsidR="000D3342" w:rsidRDefault="000D3342" w:rsidP="000D3342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N</w:t>
      </w:r>
      <w:r w:rsidR="003F6838">
        <w:rPr>
          <w:rFonts w:ascii="Arial" w:hAnsi="Arial" w:cs="Arial"/>
          <w:sz w:val="24"/>
          <w:szCs w:val="24"/>
          <w:lang w:val="gl-ES"/>
        </w:rPr>
        <w:t>on s</w:t>
      </w:r>
      <w:r w:rsidR="006C4606">
        <w:rPr>
          <w:rFonts w:ascii="Arial" w:hAnsi="Arial" w:cs="Arial"/>
          <w:sz w:val="24"/>
          <w:szCs w:val="24"/>
          <w:lang w:val="gl-ES"/>
        </w:rPr>
        <w:t>ó</w:t>
      </w:r>
      <w:r w:rsidR="003F6838">
        <w:rPr>
          <w:rFonts w:ascii="Arial" w:hAnsi="Arial" w:cs="Arial"/>
          <w:sz w:val="24"/>
          <w:szCs w:val="24"/>
          <w:lang w:val="gl-ES"/>
        </w:rPr>
        <w:t xml:space="preserve"> se perdeu emprego, senón </w:t>
      </w:r>
      <w:r w:rsidR="00DB3FE8">
        <w:rPr>
          <w:rFonts w:ascii="Arial" w:hAnsi="Arial" w:cs="Arial"/>
          <w:sz w:val="24"/>
          <w:szCs w:val="24"/>
          <w:lang w:val="gl-ES"/>
        </w:rPr>
        <w:t>que se reduciron os postos de traballo nas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 w:rsidR="00DB3FE8">
        <w:rPr>
          <w:rFonts w:ascii="Arial" w:hAnsi="Arial" w:cs="Arial"/>
          <w:sz w:val="24"/>
          <w:szCs w:val="24"/>
          <w:lang w:val="gl-ES"/>
        </w:rPr>
        <w:t>actividades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 w:rsidR="00DB3FE8">
        <w:rPr>
          <w:rFonts w:ascii="Arial" w:hAnsi="Arial" w:cs="Arial"/>
          <w:sz w:val="24"/>
          <w:szCs w:val="24"/>
          <w:lang w:val="gl-ES"/>
        </w:rPr>
        <w:t>con mellores salarios e aumentaron nas peor remuneradas,</w:t>
      </w:r>
      <w:r w:rsidR="006C4606">
        <w:rPr>
          <w:rFonts w:ascii="Arial" w:hAnsi="Arial" w:cs="Arial"/>
          <w:sz w:val="24"/>
          <w:szCs w:val="24"/>
          <w:lang w:val="gl-ES"/>
        </w:rPr>
        <w:t xml:space="preserve"> en concreto</w:t>
      </w:r>
      <w:r w:rsidR="00DB3FE8">
        <w:rPr>
          <w:rFonts w:ascii="Arial" w:hAnsi="Arial" w:cs="Arial"/>
          <w:sz w:val="24"/>
          <w:szCs w:val="24"/>
          <w:lang w:val="gl-ES"/>
        </w:rPr>
        <w:t xml:space="preserve"> en servizos persoais e de</w:t>
      </w:r>
      <w:r w:rsidR="008F1AEA">
        <w:rPr>
          <w:rFonts w:ascii="Arial" w:hAnsi="Arial" w:cs="Arial"/>
          <w:sz w:val="24"/>
          <w:szCs w:val="24"/>
          <w:lang w:val="gl-ES"/>
        </w:rPr>
        <w:t xml:space="preserve"> lecer</w:t>
      </w:r>
      <w:r w:rsidR="006C4606">
        <w:rPr>
          <w:rFonts w:ascii="Arial" w:hAnsi="Arial" w:cs="Arial"/>
          <w:sz w:val="24"/>
          <w:szCs w:val="24"/>
          <w:lang w:val="gl-ES"/>
        </w:rPr>
        <w:t xml:space="preserve"> (b</w:t>
      </w:r>
      <w:r w:rsidR="00DB3FE8">
        <w:rPr>
          <w:rFonts w:ascii="Arial" w:hAnsi="Arial" w:cs="Arial"/>
          <w:sz w:val="24"/>
          <w:szCs w:val="24"/>
          <w:lang w:val="gl-ES"/>
        </w:rPr>
        <w:t>asicamente en coidados a dependentes</w:t>
      </w:r>
      <w:r w:rsidR="006C4606">
        <w:rPr>
          <w:rFonts w:ascii="Arial" w:hAnsi="Arial" w:cs="Arial"/>
          <w:sz w:val="24"/>
          <w:szCs w:val="24"/>
          <w:lang w:val="gl-ES"/>
        </w:rPr>
        <w:t>)</w:t>
      </w:r>
      <w:r w:rsidR="00DB3FE8">
        <w:rPr>
          <w:rFonts w:ascii="Arial" w:hAnsi="Arial" w:cs="Arial"/>
          <w:sz w:val="24"/>
          <w:szCs w:val="24"/>
          <w:lang w:val="gl-ES"/>
        </w:rPr>
        <w:t xml:space="preserve">. </w:t>
      </w:r>
      <w:r>
        <w:rPr>
          <w:rFonts w:ascii="Arial" w:hAnsi="Arial" w:cs="Arial"/>
          <w:sz w:val="24"/>
          <w:szCs w:val="24"/>
          <w:lang w:val="gl-ES"/>
        </w:rPr>
        <w:t>A conxunción destes dous factores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>
        <w:rPr>
          <w:rFonts w:ascii="Arial" w:hAnsi="Arial" w:cs="Arial"/>
          <w:sz w:val="24"/>
          <w:szCs w:val="24"/>
          <w:lang w:val="gl-ES"/>
        </w:rPr>
        <w:t xml:space="preserve">levou a moitas, </w:t>
      </w:r>
      <w:r w:rsidR="006C4606">
        <w:rPr>
          <w:rFonts w:ascii="Arial" w:hAnsi="Arial" w:cs="Arial"/>
          <w:sz w:val="24"/>
          <w:szCs w:val="24"/>
          <w:lang w:val="gl-ES"/>
        </w:rPr>
        <w:t>a</w:t>
      </w:r>
      <w:r>
        <w:rPr>
          <w:rFonts w:ascii="Arial" w:hAnsi="Arial" w:cs="Arial"/>
          <w:sz w:val="24"/>
          <w:szCs w:val="24"/>
          <w:lang w:val="gl-ES"/>
        </w:rPr>
        <w:t>s máis novas,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>
        <w:rPr>
          <w:rFonts w:ascii="Arial" w:hAnsi="Arial" w:cs="Arial"/>
          <w:sz w:val="24"/>
          <w:szCs w:val="24"/>
          <w:lang w:val="gl-ES"/>
        </w:rPr>
        <w:t>a optar</w:t>
      </w:r>
      <w:r w:rsidR="006C4606">
        <w:rPr>
          <w:rFonts w:ascii="Arial" w:hAnsi="Arial" w:cs="Arial"/>
          <w:sz w:val="24"/>
          <w:szCs w:val="24"/>
          <w:lang w:val="gl-ES"/>
        </w:rPr>
        <w:t>en</w:t>
      </w:r>
      <w:r>
        <w:rPr>
          <w:rFonts w:ascii="Arial" w:hAnsi="Arial" w:cs="Arial"/>
          <w:sz w:val="24"/>
          <w:szCs w:val="24"/>
          <w:lang w:val="gl-ES"/>
        </w:rPr>
        <w:t xml:space="preserve"> pola emigración como única saída laboral</w:t>
      </w:r>
      <w:r w:rsidR="006C4606">
        <w:rPr>
          <w:rFonts w:ascii="Arial" w:hAnsi="Arial" w:cs="Arial"/>
          <w:sz w:val="24"/>
          <w:szCs w:val="24"/>
          <w:lang w:val="gl-ES"/>
        </w:rPr>
        <w:t>. S</w:t>
      </w:r>
      <w:r>
        <w:rPr>
          <w:rFonts w:ascii="Arial" w:hAnsi="Arial" w:cs="Arial"/>
          <w:sz w:val="24"/>
          <w:szCs w:val="24"/>
          <w:lang w:val="gl-ES"/>
        </w:rPr>
        <w:t>on mulleres, maioritariamente</w:t>
      </w:r>
      <w:r w:rsidR="006C4606">
        <w:rPr>
          <w:rFonts w:ascii="Arial" w:hAnsi="Arial" w:cs="Arial"/>
          <w:sz w:val="24"/>
          <w:szCs w:val="24"/>
          <w:lang w:val="gl-ES"/>
        </w:rPr>
        <w:t>,</w:t>
      </w:r>
      <w:r>
        <w:rPr>
          <w:rFonts w:ascii="Arial" w:hAnsi="Arial" w:cs="Arial"/>
          <w:sz w:val="24"/>
          <w:szCs w:val="24"/>
          <w:lang w:val="gl-ES"/>
        </w:rPr>
        <w:t xml:space="preserve"> cun bo nivel de formación que, ante a imposibilidade de </w:t>
      </w:r>
      <w:r w:rsidR="006C4606">
        <w:rPr>
          <w:rFonts w:ascii="Arial" w:hAnsi="Arial" w:cs="Arial"/>
          <w:sz w:val="24"/>
          <w:szCs w:val="24"/>
          <w:lang w:val="gl-ES"/>
        </w:rPr>
        <w:t xml:space="preserve">se desenvolveren </w:t>
      </w:r>
      <w:r>
        <w:rPr>
          <w:rFonts w:ascii="Arial" w:hAnsi="Arial" w:cs="Arial"/>
          <w:sz w:val="24"/>
          <w:szCs w:val="24"/>
          <w:lang w:val="gl-ES"/>
        </w:rPr>
        <w:t>profesionalmente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>
        <w:rPr>
          <w:rFonts w:ascii="Arial" w:hAnsi="Arial" w:cs="Arial"/>
          <w:sz w:val="24"/>
          <w:szCs w:val="24"/>
          <w:lang w:val="gl-ES"/>
        </w:rPr>
        <w:t xml:space="preserve">aquí, optaron pola emigración. </w:t>
      </w:r>
    </w:p>
    <w:p w:rsidR="00DB3FE8" w:rsidRDefault="00DB3FE8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O forte peso e medre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>
        <w:rPr>
          <w:rFonts w:ascii="Arial" w:hAnsi="Arial" w:cs="Arial"/>
          <w:sz w:val="24"/>
          <w:szCs w:val="24"/>
          <w:lang w:val="gl-ES"/>
        </w:rPr>
        <w:t>dos traballos a xornada parcial entre as mulleres, ante a posibilidade de conseguilos a xornada completa</w:t>
      </w:r>
      <w:r w:rsidR="006C4606">
        <w:rPr>
          <w:rFonts w:ascii="Arial" w:hAnsi="Arial" w:cs="Arial"/>
          <w:sz w:val="24"/>
          <w:szCs w:val="24"/>
          <w:lang w:val="gl-ES"/>
        </w:rPr>
        <w:t>,</w:t>
      </w:r>
      <w:r>
        <w:rPr>
          <w:rFonts w:ascii="Arial" w:hAnsi="Arial" w:cs="Arial"/>
          <w:sz w:val="24"/>
          <w:szCs w:val="24"/>
          <w:lang w:val="gl-ES"/>
        </w:rPr>
        <w:t xml:space="preserve"> é outr</w:t>
      </w:r>
      <w:r w:rsidR="006C4606">
        <w:rPr>
          <w:rFonts w:ascii="Arial" w:hAnsi="Arial" w:cs="Arial"/>
          <w:sz w:val="24"/>
          <w:szCs w:val="24"/>
          <w:lang w:val="gl-ES"/>
        </w:rPr>
        <w:t>o</w:t>
      </w:r>
      <w:r>
        <w:rPr>
          <w:rFonts w:ascii="Arial" w:hAnsi="Arial" w:cs="Arial"/>
          <w:sz w:val="24"/>
          <w:szCs w:val="24"/>
          <w:lang w:val="gl-ES"/>
        </w:rPr>
        <w:t xml:space="preserve"> factor de desánimo que contribúe, nalgúns casos, </w:t>
      </w:r>
      <w:r w:rsidR="006C4606">
        <w:rPr>
          <w:rFonts w:ascii="Arial" w:hAnsi="Arial" w:cs="Arial"/>
          <w:sz w:val="24"/>
          <w:szCs w:val="24"/>
          <w:lang w:val="gl-ES"/>
        </w:rPr>
        <w:t>a</w:t>
      </w:r>
      <w:r>
        <w:rPr>
          <w:rFonts w:ascii="Arial" w:hAnsi="Arial" w:cs="Arial"/>
          <w:sz w:val="24"/>
          <w:szCs w:val="24"/>
          <w:lang w:val="gl-ES"/>
        </w:rPr>
        <w:t>o abandono de G</w:t>
      </w:r>
      <w:r w:rsidR="00B533CD">
        <w:rPr>
          <w:rFonts w:ascii="Arial" w:hAnsi="Arial" w:cs="Arial"/>
          <w:sz w:val="24"/>
          <w:szCs w:val="24"/>
          <w:lang w:val="gl-ES"/>
        </w:rPr>
        <w:t>aliza</w:t>
      </w:r>
      <w:r>
        <w:rPr>
          <w:rFonts w:ascii="Arial" w:hAnsi="Arial" w:cs="Arial"/>
          <w:sz w:val="24"/>
          <w:szCs w:val="24"/>
          <w:lang w:val="gl-ES"/>
        </w:rPr>
        <w:t>.</w:t>
      </w:r>
    </w:p>
    <w:p w:rsidR="00B97BD3" w:rsidRDefault="00B97BD3" w:rsidP="00A81E1A">
      <w:pPr>
        <w:jc w:val="both"/>
        <w:rPr>
          <w:rFonts w:ascii="Arial" w:hAnsi="Arial" w:cs="Arial"/>
          <w:sz w:val="24"/>
          <w:szCs w:val="24"/>
          <w:lang w:val="gl-ES"/>
        </w:rPr>
      </w:pPr>
    </w:p>
    <w:p w:rsidR="00D1306F" w:rsidRDefault="00CC3EED" w:rsidP="00D1306F">
      <w:pPr>
        <w:jc w:val="center"/>
        <w:rPr>
          <w:rFonts w:ascii="Arial" w:hAnsi="Arial" w:cs="Arial"/>
          <w:b/>
          <w:sz w:val="24"/>
          <w:szCs w:val="24"/>
          <w:lang w:val="gl-ES"/>
        </w:rPr>
      </w:pPr>
      <w:r>
        <w:rPr>
          <w:rFonts w:ascii="Arial" w:hAnsi="Arial" w:cs="Arial"/>
          <w:b/>
          <w:sz w:val="24"/>
          <w:szCs w:val="24"/>
          <w:lang w:val="gl-ES"/>
        </w:rPr>
        <w:t xml:space="preserve"> No ano 2017 o</w:t>
      </w:r>
      <w:r w:rsidR="00724403">
        <w:rPr>
          <w:rFonts w:ascii="Arial" w:hAnsi="Arial" w:cs="Arial"/>
          <w:b/>
          <w:sz w:val="24"/>
          <w:szCs w:val="24"/>
          <w:lang w:val="gl-ES"/>
        </w:rPr>
        <w:t xml:space="preserve"> </w:t>
      </w:r>
      <w:r w:rsidR="008F11BA">
        <w:rPr>
          <w:rFonts w:ascii="Arial" w:hAnsi="Arial" w:cs="Arial"/>
          <w:b/>
          <w:sz w:val="24"/>
          <w:szCs w:val="24"/>
          <w:lang w:val="gl-ES"/>
        </w:rPr>
        <w:t xml:space="preserve">21,8% das </w:t>
      </w:r>
      <w:r>
        <w:rPr>
          <w:rFonts w:ascii="Arial" w:hAnsi="Arial" w:cs="Arial"/>
          <w:b/>
          <w:sz w:val="24"/>
          <w:szCs w:val="24"/>
          <w:lang w:val="gl-ES"/>
        </w:rPr>
        <w:t xml:space="preserve">mulleres traballaron </w:t>
      </w:r>
      <w:r w:rsidR="00943F7C">
        <w:rPr>
          <w:rFonts w:ascii="Arial" w:hAnsi="Arial" w:cs="Arial"/>
          <w:b/>
          <w:sz w:val="24"/>
          <w:szCs w:val="24"/>
          <w:lang w:val="gl-ES"/>
        </w:rPr>
        <w:t>a xornada parcial</w:t>
      </w:r>
      <w:r>
        <w:rPr>
          <w:rFonts w:ascii="Arial" w:hAnsi="Arial" w:cs="Arial"/>
          <w:b/>
          <w:sz w:val="24"/>
          <w:szCs w:val="24"/>
          <w:lang w:val="gl-ES"/>
        </w:rPr>
        <w:t>, fronte a un 6%</w:t>
      </w:r>
      <w:r w:rsidR="00550B21">
        <w:rPr>
          <w:rFonts w:ascii="Arial" w:hAnsi="Arial" w:cs="Arial"/>
          <w:b/>
          <w:sz w:val="24"/>
          <w:szCs w:val="24"/>
          <w:lang w:val="gl-ES"/>
        </w:rPr>
        <w:t xml:space="preserve"> </w:t>
      </w:r>
      <w:r>
        <w:rPr>
          <w:rFonts w:ascii="Arial" w:hAnsi="Arial" w:cs="Arial"/>
          <w:b/>
          <w:sz w:val="24"/>
          <w:szCs w:val="24"/>
          <w:lang w:val="gl-ES"/>
        </w:rPr>
        <w:t>no caso dos homes.</w:t>
      </w:r>
      <w:r w:rsidR="0094104A">
        <w:rPr>
          <w:rFonts w:ascii="Arial" w:hAnsi="Arial" w:cs="Arial"/>
          <w:b/>
          <w:sz w:val="24"/>
          <w:szCs w:val="24"/>
          <w:lang w:val="gl-ES"/>
        </w:rPr>
        <w:t xml:space="preserve"> </w:t>
      </w:r>
    </w:p>
    <w:p w:rsidR="00B97BD3" w:rsidRPr="00D1306F" w:rsidRDefault="00B97BD3" w:rsidP="00D1306F">
      <w:pPr>
        <w:jc w:val="center"/>
        <w:rPr>
          <w:rFonts w:ascii="Arial" w:hAnsi="Arial" w:cs="Arial"/>
          <w:b/>
          <w:sz w:val="24"/>
          <w:szCs w:val="24"/>
          <w:lang w:val="gl-ES"/>
        </w:rPr>
      </w:pPr>
    </w:p>
    <w:p w:rsidR="00DB3FE8" w:rsidRDefault="00DB3FE8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Mulleres ocupadas segundo tipo de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>
        <w:rPr>
          <w:rFonts w:ascii="Arial" w:hAnsi="Arial" w:cs="Arial"/>
          <w:sz w:val="24"/>
          <w:szCs w:val="24"/>
          <w:lang w:val="gl-ES"/>
        </w:rPr>
        <w:t>xornada. Datos en miles</w:t>
      </w:r>
    </w:p>
    <w:tbl>
      <w:tblPr>
        <w:tblStyle w:val="Sombreadoclaro-nfasis4"/>
        <w:tblW w:w="0" w:type="auto"/>
        <w:tblLook w:val="04A0"/>
      </w:tblPr>
      <w:tblGrid>
        <w:gridCol w:w="1247"/>
        <w:gridCol w:w="933"/>
        <w:gridCol w:w="717"/>
        <w:gridCol w:w="717"/>
        <w:gridCol w:w="747"/>
        <w:gridCol w:w="747"/>
      </w:tblGrid>
      <w:tr w:rsidR="00DB3FE8" w:rsidRPr="00DB3FE8" w:rsidTr="00DB3FE8">
        <w:trPr>
          <w:cnfStyle w:val="100000000000"/>
          <w:trHeight w:val="300"/>
        </w:trPr>
        <w:tc>
          <w:tcPr>
            <w:cnfStyle w:val="001000000000"/>
            <w:tcW w:w="0" w:type="auto"/>
            <w:hideMark/>
          </w:tcPr>
          <w:p w:rsidR="00DB3FE8" w:rsidRPr="00DB3FE8" w:rsidRDefault="00DB3FE8" w:rsidP="00DB3FE8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</w:p>
        </w:tc>
        <w:tc>
          <w:tcPr>
            <w:tcW w:w="0" w:type="auto"/>
            <w:gridSpan w:val="3"/>
            <w:hideMark/>
          </w:tcPr>
          <w:p w:rsidR="00DB3FE8" w:rsidRPr="00DB3FE8" w:rsidRDefault="00DB3FE8" w:rsidP="00DB3FE8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DB3FE8">
              <w:rPr>
                <w:rFonts w:ascii="Calibri" w:eastAsia="Times New Roman" w:hAnsi="Calibri" w:cs="Times New Roman"/>
                <w:color w:val="000000"/>
                <w:lang w:val="gl-ES"/>
              </w:rPr>
              <w:t>Mulleres</w:t>
            </w:r>
          </w:p>
        </w:tc>
        <w:tc>
          <w:tcPr>
            <w:tcW w:w="0" w:type="auto"/>
            <w:gridSpan w:val="2"/>
            <w:noWrap/>
            <w:hideMark/>
          </w:tcPr>
          <w:p w:rsidR="00DB3FE8" w:rsidRPr="00DB3FE8" w:rsidRDefault="00DB3FE8" w:rsidP="00DB3FE8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DB3FE8"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Variación </w:t>
            </w:r>
          </w:p>
        </w:tc>
      </w:tr>
      <w:tr w:rsidR="00DB3FE8" w:rsidRPr="00DB3FE8" w:rsidTr="00DB3FE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DB3FE8" w:rsidRPr="00DB3FE8" w:rsidRDefault="00DB3FE8" w:rsidP="00DB3FE8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</w:p>
        </w:tc>
        <w:tc>
          <w:tcPr>
            <w:tcW w:w="0" w:type="auto"/>
            <w:hideMark/>
          </w:tcPr>
          <w:p w:rsidR="00DB3FE8" w:rsidRPr="00DB3FE8" w:rsidRDefault="00DB3FE8" w:rsidP="00DB3FE8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</w:pPr>
            <w:r w:rsidRPr="00DB3FE8"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  <w:t>2009/III</w:t>
            </w:r>
          </w:p>
        </w:tc>
        <w:tc>
          <w:tcPr>
            <w:tcW w:w="0" w:type="auto"/>
            <w:hideMark/>
          </w:tcPr>
          <w:p w:rsidR="00DB3FE8" w:rsidRPr="00DB3FE8" w:rsidRDefault="00DB3FE8" w:rsidP="00DB3FE8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</w:pPr>
            <w:r w:rsidRPr="00DB3FE8"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  <w:t>2016</w:t>
            </w:r>
          </w:p>
        </w:tc>
        <w:tc>
          <w:tcPr>
            <w:tcW w:w="0" w:type="auto"/>
            <w:hideMark/>
          </w:tcPr>
          <w:p w:rsidR="00DB3FE8" w:rsidRPr="00DB3FE8" w:rsidRDefault="00DB3FE8" w:rsidP="00DB3FE8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</w:pPr>
            <w:r w:rsidRPr="00DB3FE8"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  <w:t>2017</w:t>
            </w:r>
          </w:p>
        </w:tc>
        <w:tc>
          <w:tcPr>
            <w:tcW w:w="0" w:type="auto"/>
            <w:noWrap/>
            <w:hideMark/>
          </w:tcPr>
          <w:p w:rsidR="00DB3FE8" w:rsidRPr="00DB3FE8" w:rsidRDefault="00DB3FE8" w:rsidP="00DB3FE8">
            <w:pPr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DB3FE8">
              <w:rPr>
                <w:rFonts w:ascii="Calibri" w:eastAsia="Times New Roman" w:hAnsi="Calibri" w:cs="Times New Roman"/>
                <w:color w:val="000000"/>
                <w:lang w:val="gl-ES"/>
              </w:rPr>
              <w:t>17/16</w:t>
            </w:r>
          </w:p>
        </w:tc>
        <w:tc>
          <w:tcPr>
            <w:tcW w:w="0" w:type="auto"/>
            <w:noWrap/>
            <w:hideMark/>
          </w:tcPr>
          <w:p w:rsidR="00DB3FE8" w:rsidRPr="00DB3FE8" w:rsidRDefault="00DB3FE8" w:rsidP="00DB3FE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DB3FE8">
              <w:rPr>
                <w:rFonts w:ascii="Calibri" w:eastAsia="Times New Roman" w:hAnsi="Calibri" w:cs="Times New Roman"/>
                <w:color w:val="000000"/>
                <w:lang w:val="gl-ES"/>
              </w:rPr>
              <w:t>17/09</w:t>
            </w:r>
          </w:p>
        </w:tc>
      </w:tr>
      <w:tr w:rsidR="00DB3FE8" w:rsidRPr="00DB3FE8" w:rsidTr="00DB3FE8">
        <w:trPr>
          <w:trHeight w:val="300"/>
        </w:trPr>
        <w:tc>
          <w:tcPr>
            <w:cnfStyle w:val="001000000000"/>
            <w:tcW w:w="0" w:type="auto"/>
            <w:hideMark/>
          </w:tcPr>
          <w:p w:rsidR="00DB3FE8" w:rsidRPr="00DB3FE8" w:rsidRDefault="00724403" w:rsidP="00DB3FE8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  </w:t>
            </w:r>
            <w:r w:rsidR="00DB3FE8" w:rsidRPr="00DB3FE8">
              <w:rPr>
                <w:rFonts w:ascii="Calibri" w:eastAsia="Times New Roman" w:hAnsi="Calibri" w:cs="Times New Roman"/>
                <w:color w:val="000000"/>
                <w:lang w:val="gl-ES"/>
              </w:rPr>
              <w:t>Total</w:t>
            </w:r>
          </w:p>
        </w:tc>
        <w:tc>
          <w:tcPr>
            <w:tcW w:w="0" w:type="auto"/>
            <w:hideMark/>
          </w:tcPr>
          <w:p w:rsidR="00DB3FE8" w:rsidRPr="00DB3FE8" w:rsidRDefault="00DB3FE8" w:rsidP="00DB3FE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DB3FE8">
              <w:rPr>
                <w:rFonts w:ascii="Calibri" w:eastAsia="Times New Roman" w:hAnsi="Calibri" w:cs="Times New Roman"/>
                <w:color w:val="000000"/>
                <w:lang w:val="gl-ES"/>
              </w:rPr>
              <w:t>523,1</w:t>
            </w:r>
          </w:p>
        </w:tc>
        <w:tc>
          <w:tcPr>
            <w:tcW w:w="0" w:type="auto"/>
            <w:hideMark/>
          </w:tcPr>
          <w:p w:rsidR="00DB3FE8" w:rsidRPr="00DB3FE8" w:rsidRDefault="00DB3FE8" w:rsidP="00DB3FE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DB3FE8">
              <w:rPr>
                <w:rFonts w:ascii="Calibri" w:eastAsia="Times New Roman" w:hAnsi="Calibri" w:cs="Times New Roman"/>
                <w:color w:val="000000"/>
                <w:lang w:val="gl-ES"/>
              </w:rPr>
              <w:t>491,7</w:t>
            </w:r>
          </w:p>
        </w:tc>
        <w:tc>
          <w:tcPr>
            <w:tcW w:w="0" w:type="auto"/>
            <w:hideMark/>
          </w:tcPr>
          <w:p w:rsidR="00DB3FE8" w:rsidRPr="00DB3FE8" w:rsidRDefault="00DB3FE8" w:rsidP="00DB3FE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DB3FE8">
              <w:rPr>
                <w:rFonts w:ascii="Calibri" w:eastAsia="Times New Roman" w:hAnsi="Calibri" w:cs="Times New Roman"/>
                <w:color w:val="000000"/>
                <w:lang w:val="gl-ES"/>
              </w:rPr>
              <w:t>501,4</w:t>
            </w:r>
          </w:p>
        </w:tc>
        <w:tc>
          <w:tcPr>
            <w:tcW w:w="0" w:type="auto"/>
            <w:noWrap/>
            <w:hideMark/>
          </w:tcPr>
          <w:p w:rsidR="00DB3FE8" w:rsidRPr="00DB3FE8" w:rsidRDefault="00DB3FE8" w:rsidP="00DB3FE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DB3FE8">
              <w:rPr>
                <w:rFonts w:ascii="Calibri" w:eastAsia="Times New Roman" w:hAnsi="Calibri" w:cs="Times New Roman"/>
                <w:color w:val="000000"/>
                <w:lang w:val="gl-ES"/>
              </w:rPr>
              <w:t>9,7</w:t>
            </w:r>
          </w:p>
        </w:tc>
        <w:tc>
          <w:tcPr>
            <w:tcW w:w="0" w:type="auto"/>
            <w:noWrap/>
            <w:hideMark/>
          </w:tcPr>
          <w:p w:rsidR="00DB3FE8" w:rsidRPr="00DB3FE8" w:rsidRDefault="00DB3FE8" w:rsidP="00DB3FE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DB3FE8">
              <w:rPr>
                <w:rFonts w:ascii="Calibri" w:eastAsia="Times New Roman" w:hAnsi="Calibri" w:cs="Times New Roman"/>
                <w:color w:val="000000"/>
                <w:lang w:val="gl-ES"/>
              </w:rPr>
              <w:t>-21,7</w:t>
            </w:r>
          </w:p>
        </w:tc>
      </w:tr>
      <w:tr w:rsidR="00DB3FE8" w:rsidRPr="00DB3FE8" w:rsidTr="00DB3FE8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DB3FE8" w:rsidRPr="00DB3FE8" w:rsidRDefault="00724403" w:rsidP="00DB3FE8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  </w:t>
            </w:r>
            <w:r w:rsidR="00DB3FE8" w:rsidRPr="00DB3FE8">
              <w:rPr>
                <w:rFonts w:ascii="Calibri" w:eastAsia="Times New Roman" w:hAnsi="Calibri" w:cs="Times New Roman"/>
                <w:color w:val="000000"/>
                <w:lang w:val="gl-ES"/>
              </w:rPr>
              <w:t>Completa</w:t>
            </w:r>
          </w:p>
        </w:tc>
        <w:tc>
          <w:tcPr>
            <w:tcW w:w="0" w:type="auto"/>
            <w:hideMark/>
          </w:tcPr>
          <w:p w:rsidR="00DB3FE8" w:rsidRPr="00DB3FE8" w:rsidRDefault="00DB3FE8" w:rsidP="00DB3FE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DB3FE8">
              <w:rPr>
                <w:rFonts w:ascii="Calibri" w:eastAsia="Times New Roman" w:hAnsi="Calibri" w:cs="Times New Roman"/>
                <w:color w:val="000000"/>
                <w:lang w:val="gl-ES"/>
              </w:rPr>
              <w:t>427,5</w:t>
            </w:r>
          </w:p>
        </w:tc>
        <w:tc>
          <w:tcPr>
            <w:tcW w:w="0" w:type="auto"/>
            <w:hideMark/>
          </w:tcPr>
          <w:p w:rsidR="00DB3FE8" w:rsidRPr="00DB3FE8" w:rsidRDefault="00DB3FE8" w:rsidP="00DB3FE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DB3FE8">
              <w:rPr>
                <w:rFonts w:ascii="Calibri" w:eastAsia="Times New Roman" w:hAnsi="Calibri" w:cs="Times New Roman"/>
                <w:color w:val="000000"/>
                <w:lang w:val="gl-ES"/>
              </w:rPr>
              <w:t>383,1</w:t>
            </w:r>
          </w:p>
        </w:tc>
        <w:tc>
          <w:tcPr>
            <w:tcW w:w="0" w:type="auto"/>
            <w:hideMark/>
          </w:tcPr>
          <w:p w:rsidR="00DB3FE8" w:rsidRPr="00DB3FE8" w:rsidRDefault="00DB3FE8" w:rsidP="00DB3FE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DB3FE8">
              <w:rPr>
                <w:rFonts w:ascii="Calibri" w:eastAsia="Times New Roman" w:hAnsi="Calibri" w:cs="Times New Roman"/>
                <w:color w:val="000000"/>
                <w:lang w:val="gl-ES"/>
              </w:rPr>
              <w:t>391,7</w:t>
            </w:r>
          </w:p>
        </w:tc>
        <w:tc>
          <w:tcPr>
            <w:tcW w:w="0" w:type="auto"/>
            <w:noWrap/>
            <w:hideMark/>
          </w:tcPr>
          <w:p w:rsidR="00DB3FE8" w:rsidRPr="00DB3FE8" w:rsidRDefault="00DB3FE8" w:rsidP="00DB3FE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DB3FE8">
              <w:rPr>
                <w:rFonts w:ascii="Calibri" w:eastAsia="Times New Roman" w:hAnsi="Calibri" w:cs="Times New Roman"/>
                <w:color w:val="000000"/>
                <w:lang w:val="gl-ES"/>
              </w:rPr>
              <w:t>8,6</w:t>
            </w:r>
          </w:p>
        </w:tc>
        <w:tc>
          <w:tcPr>
            <w:tcW w:w="0" w:type="auto"/>
            <w:noWrap/>
            <w:hideMark/>
          </w:tcPr>
          <w:p w:rsidR="00DB3FE8" w:rsidRPr="00DB3FE8" w:rsidRDefault="00DB3FE8" w:rsidP="00DB3FE8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DB3FE8">
              <w:rPr>
                <w:rFonts w:ascii="Calibri" w:eastAsia="Times New Roman" w:hAnsi="Calibri" w:cs="Times New Roman"/>
                <w:color w:val="000000"/>
                <w:lang w:val="gl-ES"/>
              </w:rPr>
              <w:t>-35,8</w:t>
            </w:r>
          </w:p>
        </w:tc>
      </w:tr>
      <w:tr w:rsidR="00DB3FE8" w:rsidRPr="00DB3FE8" w:rsidTr="00DB3FE8">
        <w:trPr>
          <w:trHeight w:val="300"/>
        </w:trPr>
        <w:tc>
          <w:tcPr>
            <w:cnfStyle w:val="001000000000"/>
            <w:tcW w:w="0" w:type="auto"/>
            <w:hideMark/>
          </w:tcPr>
          <w:p w:rsidR="00DB3FE8" w:rsidRPr="00DB3FE8" w:rsidRDefault="00724403" w:rsidP="00DB3FE8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  </w:t>
            </w:r>
            <w:r w:rsidR="00DB3FE8" w:rsidRPr="00DB3FE8">
              <w:rPr>
                <w:rFonts w:ascii="Calibri" w:eastAsia="Times New Roman" w:hAnsi="Calibri" w:cs="Times New Roman"/>
                <w:color w:val="000000"/>
                <w:lang w:val="gl-ES"/>
              </w:rPr>
              <w:t>Parcial</w:t>
            </w:r>
          </w:p>
        </w:tc>
        <w:tc>
          <w:tcPr>
            <w:tcW w:w="0" w:type="auto"/>
            <w:hideMark/>
          </w:tcPr>
          <w:p w:rsidR="00DB3FE8" w:rsidRPr="00DB3FE8" w:rsidRDefault="00DB3FE8" w:rsidP="00DB3FE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DB3FE8">
              <w:rPr>
                <w:rFonts w:ascii="Calibri" w:eastAsia="Times New Roman" w:hAnsi="Calibri" w:cs="Times New Roman"/>
                <w:color w:val="000000"/>
                <w:lang w:val="gl-ES"/>
              </w:rPr>
              <w:t>95,6</w:t>
            </w:r>
          </w:p>
        </w:tc>
        <w:tc>
          <w:tcPr>
            <w:tcW w:w="0" w:type="auto"/>
            <w:hideMark/>
          </w:tcPr>
          <w:p w:rsidR="00DB3FE8" w:rsidRPr="00DB3FE8" w:rsidRDefault="00DB3FE8" w:rsidP="00DB3FE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DB3FE8">
              <w:rPr>
                <w:rFonts w:ascii="Calibri" w:eastAsia="Times New Roman" w:hAnsi="Calibri" w:cs="Times New Roman"/>
                <w:color w:val="000000"/>
                <w:lang w:val="gl-ES"/>
              </w:rPr>
              <w:t>108,6</w:t>
            </w:r>
          </w:p>
        </w:tc>
        <w:tc>
          <w:tcPr>
            <w:tcW w:w="0" w:type="auto"/>
            <w:hideMark/>
          </w:tcPr>
          <w:p w:rsidR="00DB3FE8" w:rsidRPr="00DB3FE8" w:rsidRDefault="00DB3FE8" w:rsidP="00DB3FE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DB3FE8">
              <w:rPr>
                <w:rFonts w:ascii="Calibri" w:eastAsia="Times New Roman" w:hAnsi="Calibri" w:cs="Times New Roman"/>
                <w:color w:val="000000"/>
                <w:lang w:val="gl-ES"/>
              </w:rPr>
              <w:t>109,7</w:t>
            </w:r>
          </w:p>
        </w:tc>
        <w:tc>
          <w:tcPr>
            <w:tcW w:w="0" w:type="auto"/>
            <w:noWrap/>
            <w:hideMark/>
          </w:tcPr>
          <w:p w:rsidR="00DB3FE8" w:rsidRPr="00DB3FE8" w:rsidRDefault="00DB3FE8" w:rsidP="00DB3FE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DB3FE8">
              <w:rPr>
                <w:rFonts w:ascii="Calibri" w:eastAsia="Times New Roman" w:hAnsi="Calibri" w:cs="Times New Roman"/>
                <w:color w:val="000000"/>
                <w:lang w:val="gl-ES"/>
              </w:rPr>
              <w:t>1,1</w:t>
            </w:r>
          </w:p>
        </w:tc>
        <w:tc>
          <w:tcPr>
            <w:tcW w:w="0" w:type="auto"/>
            <w:noWrap/>
            <w:hideMark/>
          </w:tcPr>
          <w:p w:rsidR="00DB3FE8" w:rsidRPr="00DB3FE8" w:rsidRDefault="00DB3FE8" w:rsidP="00DB3FE8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DB3FE8">
              <w:rPr>
                <w:rFonts w:ascii="Calibri" w:eastAsia="Times New Roman" w:hAnsi="Calibri" w:cs="Times New Roman"/>
                <w:color w:val="000000"/>
                <w:lang w:val="gl-ES"/>
              </w:rPr>
              <w:t>14,1</w:t>
            </w:r>
          </w:p>
        </w:tc>
      </w:tr>
    </w:tbl>
    <w:p w:rsidR="00DB3FE8" w:rsidRPr="006C4606" w:rsidRDefault="00DB3FE8" w:rsidP="00DB3FE8">
      <w:pPr>
        <w:jc w:val="both"/>
        <w:rPr>
          <w:rFonts w:ascii="Arial" w:hAnsi="Arial" w:cs="Arial"/>
          <w:i/>
          <w:sz w:val="24"/>
          <w:szCs w:val="24"/>
          <w:lang w:val="gl-ES"/>
        </w:rPr>
      </w:pPr>
      <w:r w:rsidRPr="006C4606">
        <w:rPr>
          <w:rFonts w:ascii="Arial" w:hAnsi="Arial" w:cs="Arial"/>
          <w:i/>
          <w:sz w:val="24"/>
          <w:szCs w:val="24"/>
          <w:lang w:val="gl-ES"/>
        </w:rPr>
        <w:t>Fonte: EPA. INE</w:t>
      </w:r>
    </w:p>
    <w:p w:rsidR="00DB3FE8" w:rsidRDefault="00DB3FE8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No último ano medraron en maior medida as mulleres traballadores a xornada completa que as a tempo parcial </w:t>
      </w:r>
      <w:r w:rsidR="008510A3">
        <w:rPr>
          <w:rFonts w:ascii="Arial" w:hAnsi="Arial" w:cs="Arial"/>
          <w:sz w:val="24"/>
          <w:szCs w:val="24"/>
          <w:lang w:val="gl-ES"/>
        </w:rPr>
        <w:t xml:space="preserve">(8.600 e 1.100 respectivamente), pero apenas </w:t>
      </w:r>
      <w:r w:rsidR="006C4606">
        <w:rPr>
          <w:rFonts w:ascii="Arial" w:hAnsi="Arial" w:cs="Arial"/>
          <w:sz w:val="24"/>
          <w:szCs w:val="24"/>
          <w:lang w:val="gl-ES"/>
        </w:rPr>
        <w:t xml:space="preserve">se </w:t>
      </w:r>
      <w:r w:rsidR="008510A3">
        <w:rPr>
          <w:rFonts w:ascii="Arial" w:hAnsi="Arial" w:cs="Arial"/>
          <w:sz w:val="24"/>
          <w:szCs w:val="24"/>
          <w:lang w:val="gl-ES"/>
        </w:rPr>
        <w:t xml:space="preserve">mitigou a </w:t>
      </w:r>
      <w:r w:rsidR="008E641C">
        <w:rPr>
          <w:rFonts w:ascii="Arial" w:hAnsi="Arial" w:cs="Arial"/>
          <w:sz w:val="24"/>
          <w:szCs w:val="24"/>
          <w:lang w:val="gl-ES"/>
        </w:rPr>
        <w:t xml:space="preserve">tendencia destes últimos anos, que </w:t>
      </w:r>
      <w:r w:rsidR="006C4606">
        <w:rPr>
          <w:rFonts w:ascii="Arial" w:hAnsi="Arial" w:cs="Arial"/>
          <w:sz w:val="24"/>
          <w:szCs w:val="24"/>
          <w:lang w:val="gl-ES"/>
        </w:rPr>
        <w:t>rexistra,</w:t>
      </w:r>
      <w:r w:rsidR="008E641C">
        <w:rPr>
          <w:rFonts w:ascii="Arial" w:hAnsi="Arial" w:cs="Arial"/>
          <w:sz w:val="24"/>
          <w:szCs w:val="24"/>
          <w:lang w:val="gl-ES"/>
        </w:rPr>
        <w:t xml:space="preserve"> desde o ano 2009</w:t>
      </w:r>
      <w:r w:rsidR="006C4606">
        <w:rPr>
          <w:rFonts w:ascii="Arial" w:hAnsi="Arial" w:cs="Arial"/>
          <w:sz w:val="24"/>
          <w:szCs w:val="24"/>
          <w:lang w:val="gl-ES"/>
        </w:rPr>
        <w:t>,</w:t>
      </w:r>
      <w:r w:rsidR="008E641C">
        <w:rPr>
          <w:rFonts w:ascii="Arial" w:hAnsi="Arial" w:cs="Arial"/>
          <w:sz w:val="24"/>
          <w:szCs w:val="24"/>
          <w:lang w:val="gl-ES"/>
        </w:rPr>
        <w:t xml:space="preserve"> 35.800 mulleres menos con traballos a xornada completa, e 14.100 máis con xornadas parciais.</w:t>
      </w:r>
    </w:p>
    <w:p w:rsidR="008E641C" w:rsidRDefault="008E641C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Así, se no</w:t>
      </w:r>
      <w:r w:rsidR="004242CA">
        <w:rPr>
          <w:rFonts w:ascii="Arial" w:hAnsi="Arial" w:cs="Arial"/>
          <w:sz w:val="24"/>
          <w:szCs w:val="24"/>
          <w:lang w:val="gl-ES"/>
        </w:rPr>
        <w:t xml:space="preserve"> ano 2009 o número de </w:t>
      </w:r>
      <w:r w:rsidR="008843EC">
        <w:rPr>
          <w:rFonts w:ascii="Arial" w:hAnsi="Arial" w:cs="Arial"/>
          <w:sz w:val="24"/>
          <w:szCs w:val="24"/>
          <w:lang w:val="gl-ES"/>
        </w:rPr>
        <w:t>traballador</w:t>
      </w:r>
      <w:r w:rsidR="00724403">
        <w:rPr>
          <w:rFonts w:ascii="Arial" w:hAnsi="Arial" w:cs="Arial"/>
          <w:sz w:val="24"/>
          <w:szCs w:val="24"/>
          <w:lang w:val="gl-ES"/>
        </w:rPr>
        <w:t>as</w:t>
      </w:r>
      <w:r>
        <w:rPr>
          <w:rFonts w:ascii="Arial" w:hAnsi="Arial" w:cs="Arial"/>
          <w:sz w:val="24"/>
          <w:szCs w:val="24"/>
          <w:lang w:val="gl-ES"/>
        </w:rPr>
        <w:t xml:space="preserve"> a tempo parcial representaba o 18,2% do total, en 2017 acadouse o 21,8%. No caso dos homes, soamente o 6% traballou a </w:t>
      </w:r>
      <w:r w:rsidR="0094104A">
        <w:rPr>
          <w:rFonts w:ascii="Arial" w:hAnsi="Arial" w:cs="Arial"/>
          <w:sz w:val="24"/>
          <w:szCs w:val="24"/>
          <w:lang w:val="gl-ES"/>
        </w:rPr>
        <w:t>xornada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>
        <w:rPr>
          <w:rFonts w:ascii="Arial" w:hAnsi="Arial" w:cs="Arial"/>
          <w:sz w:val="24"/>
          <w:szCs w:val="24"/>
          <w:lang w:val="gl-ES"/>
        </w:rPr>
        <w:t>parcial durante o ano 2017.</w:t>
      </w:r>
    </w:p>
    <w:p w:rsidR="00FB1CA3" w:rsidRDefault="00FB1CA3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lastRenderedPageBreak/>
        <w:t>O 60% das traballador</w:t>
      </w:r>
      <w:r w:rsidR="006C4606">
        <w:rPr>
          <w:rFonts w:ascii="Arial" w:hAnsi="Arial" w:cs="Arial"/>
          <w:sz w:val="24"/>
          <w:szCs w:val="24"/>
          <w:lang w:val="gl-ES"/>
        </w:rPr>
        <w:t>a</w:t>
      </w:r>
      <w:r>
        <w:rPr>
          <w:rFonts w:ascii="Arial" w:hAnsi="Arial" w:cs="Arial"/>
          <w:sz w:val="24"/>
          <w:szCs w:val="24"/>
          <w:lang w:val="gl-ES"/>
        </w:rPr>
        <w:t>s con xornadas parciais alegan non atopar outro traballo a xornada completa.</w:t>
      </w:r>
    </w:p>
    <w:p w:rsidR="00760F19" w:rsidRDefault="00802F1F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Xunto</w:t>
      </w:r>
      <w:r w:rsidR="004E08C4">
        <w:rPr>
          <w:rFonts w:ascii="Arial" w:hAnsi="Arial" w:cs="Arial"/>
          <w:sz w:val="24"/>
          <w:szCs w:val="24"/>
          <w:lang w:val="gl-ES"/>
        </w:rPr>
        <w:t xml:space="preserve"> ao </w:t>
      </w:r>
      <w:r>
        <w:rPr>
          <w:rFonts w:ascii="Arial" w:hAnsi="Arial" w:cs="Arial"/>
          <w:sz w:val="24"/>
          <w:szCs w:val="24"/>
          <w:lang w:val="gl-ES"/>
        </w:rPr>
        <w:t>aumento das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 w:rsidR="00760F19">
        <w:rPr>
          <w:rFonts w:ascii="Arial" w:hAnsi="Arial" w:cs="Arial"/>
          <w:sz w:val="24"/>
          <w:szCs w:val="24"/>
          <w:lang w:val="gl-ES"/>
        </w:rPr>
        <w:t>xornadas parciais</w:t>
      </w:r>
      <w:r>
        <w:rPr>
          <w:rFonts w:ascii="Arial" w:hAnsi="Arial" w:cs="Arial"/>
          <w:sz w:val="24"/>
          <w:szCs w:val="24"/>
          <w:lang w:val="gl-ES"/>
        </w:rPr>
        <w:t>, tamén medrou a temporalidade na contratación.</w:t>
      </w:r>
      <w:r w:rsidR="006C4606">
        <w:rPr>
          <w:rFonts w:ascii="Arial" w:hAnsi="Arial" w:cs="Arial"/>
          <w:sz w:val="24"/>
          <w:szCs w:val="24"/>
          <w:lang w:val="gl-ES"/>
        </w:rPr>
        <w:t xml:space="preserve"> </w:t>
      </w:r>
      <w:r>
        <w:rPr>
          <w:rFonts w:ascii="Arial" w:hAnsi="Arial" w:cs="Arial"/>
          <w:sz w:val="24"/>
          <w:szCs w:val="24"/>
          <w:lang w:val="gl-ES"/>
        </w:rPr>
        <w:t>Tal e como amosan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>
        <w:rPr>
          <w:rFonts w:ascii="Arial" w:hAnsi="Arial" w:cs="Arial"/>
          <w:sz w:val="24"/>
          <w:szCs w:val="24"/>
          <w:lang w:val="gl-ES"/>
        </w:rPr>
        <w:t xml:space="preserve">os datos do cadro seguinte, </w:t>
      </w:r>
      <w:r w:rsidR="00F72672">
        <w:rPr>
          <w:rFonts w:ascii="Arial" w:hAnsi="Arial" w:cs="Arial"/>
          <w:sz w:val="24"/>
          <w:szCs w:val="24"/>
          <w:lang w:val="gl-ES"/>
        </w:rPr>
        <w:t>n</w:t>
      </w:r>
      <w:r>
        <w:rPr>
          <w:rFonts w:ascii="Arial" w:hAnsi="Arial" w:cs="Arial"/>
          <w:sz w:val="24"/>
          <w:szCs w:val="24"/>
          <w:lang w:val="gl-ES"/>
        </w:rPr>
        <w:t xml:space="preserve">o volume global de contratación </w:t>
      </w:r>
      <w:r w:rsidR="006C4606">
        <w:rPr>
          <w:rFonts w:ascii="Arial" w:hAnsi="Arial" w:cs="Arial"/>
          <w:sz w:val="24"/>
          <w:szCs w:val="24"/>
          <w:lang w:val="gl-ES"/>
        </w:rPr>
        <w:t>apenas se deixou sentir a crise; só</w:t>
      </w:r>
      <w:r>
        <w:rPr>
          <w:rFonts w:ascii="Arial" w:hAnsi="Arial" w:cs="Arial"/>
          <w:sz w:val="24"/>
          <w:szCs w:val="24"/>
          <w:lang w:val="gl-ES"/>
        </w:rPr>
        <w:t xml:space="preserve"> nos 3 primeiros anos, pero xa a partir de 2012 a contratación comezou a incrementarse de maneira exponencial; non así a contratación indefinida.</w:t>
      </w:r>
    </w:p>
    <w:p w:rsidR="00342A60" w:rsidRDefault="00342A60" w:rsidP="00A81E1A">
      <w:pPr>
        <w:jc w:val="both"/>
        <w:rPr>
          <w:rFonts w:ascii="Arial" w:hAnsi="Arial" w:cs="Arial"/>
          <w:sz w:val="24"/>
          <w:szCs w:val="24"/>
          <w:lang w:val="gl-ES"/>
        </w:rPr>
      </w:pPr>
    </w:p>
    <w:p w:rsidR="0040696B" w:rsidRPr="0040696B" w:rsidRDefault="0040696B" w:rsidP="0040696B">
      <w:pPr>
        <w:jc w:val="center"/>
        <w:rPr>
          <w:rFonts w:ascii="Arial" w:hAnsi="Arial" w:cs="Arial"/>
          <w:b/>
          <w:sz w:val="24"/>
          <w:szCs w:val="24"/>
          <w:lang w:val="gl-ES"/>
        </w:rPr>
      </w:pPr>
      <w:r w:rsidRPr="0040696B">
        <w:rPr>
          <w:rFonts w:ascii="Arial" w:eastAsia="Times New Roman" w:hAnsi="Arial" w:cs="Arial"/>
          <w:b/>
          <w:color w:val="000000"/>
          <w:sz w:val="24"/>
          <w:szCs w:val="24"/>
          <w:lang w:val="gl-ES"/>
        </w:rPr>
        <w:t>A taxa de temporalidade feminina situouse no 28,7% no ano 2017; entre o homes foi do 25,2%.</w:t>
      </w:r>
    </w:p>
    <w:p w:rsidR="0040696B" w:rsidRDefault="0040696B" w:rsidP="00A81E1A">
      <w:pPr>
        <w:jc w:val="both"/>
        <w:rPr>
          <w:rFonts w:ascii="Arial" w:hAnsi="Arial" w:cs="Arial"/>
          <w:sz w:val="24"/>
          <w:szCs w:val="24"/>
          <w:lang w:val="gl-ES"/>
        </w:rPr>
      </w:pPr>
    </w:p>
    <w:p w:rsidR="00802F1F" w:rsidRDefault="006C4606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Contratos a mulleres</w:t>
      </w:r>
    </w:p>
    <w:tbl>
      <w:tblPr>
        <w:tblStyle w:val="Sombreadoclaro-nfasis4"/>
        <w:tblW w:w="11088" w:type="dxa"/>
        <w:tblInd w:w="-1116" w:type="dxa"/>
        <w:tblLook w:val="04A0"/>
      </w:tblPr>
      <w:tblGrid>
        <w:gridCol w:w="1268"/>
        <w:gridCol w:w="961"/>
        <w:gridCol w:w="961"/>
        <w:gridCol w:w="961"/>
        <w:gridCol w:w="962"/>
        <w:gridCol w:w="962"/>
        <w:gridCol w:w="962"/>
        <w:gridCol w:w="962"/>
        <w:gridCol w:w="962"/>
        <w:gridCol w:w="962"/>
        <w:gridCol w:w="1165"/>
      </w:tblGrid>
      <w:tr w:rsidR="00F72672" w:rsidRPr="00802F1F" w:rsidTr="00F72672">
        <w:trPr>
          <w:cnfStyle w:val="100000000000"/>
          <w:trHeight w:val="285"/>
        </w:trPr>
        <w:tc>
          <w:tcPr>
            <w:cnfStyle w:val="001000000000"/>
            <w:tcW w:w="0" w:type="auto"/>
            <w:noWrap/>
            <w:hideMark/>
          </w:tcPr>
          <w:p w:rsidR="00802F1F" w:rsidRPr="00802F1F" w:rsidRDefault="00802F1F" w:rsidP="00802F1F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hideMark/>
          </w:tcPr>
          <w:p w:rsidR="00802F1F" w:rsidRPr="00802F1F" w:rsidRDefault="00802F1F" w:rsidP="00802F1F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 w:rsidRPr="00802F1F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0" w:type="auto"/>
            <w:hideMark/>
          </w:tcPr>
          <w:p w:rsidR="00802F1F" w:rsidRPr="00802F1F" w:rsidRDefault="00802F1F" w:rsidP="00802F1F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 w:rsidRPr="00802F1F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0" w:type="auto"/>
            <w:hideMark/>
          </w:tcPr>
          <w:p w:rsidR="00802F1F" w:rsidRPr="00802F1F" w:rsidRDefault="00802F1F" w:rsidP="00802F1F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 w:rsidRPr="00802F1F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0" w:type="auto"/>
            <w:hideMark/>
          </w:tcPr>
          <w:p w:rsidR="00802F1F" w:rsidRPr="00802F1F" w:rsidRDefault="00802F1F" w:rsidP="00802F1F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 w:rsidRPr="00802F1F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0" w:type="auto"/>
            <w:hideMark/>
          </w:tcPr>
          <w:p w:rsidR="00802F1F" w:rsidRPr="00802F1F" w:rsidRDefault="00802F1F" w:rsidP="00802F1F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 w:rsidRPr="00802F1F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0" w:type="auto"/>
            <w:hideMark/>
          </w:tcPr>
          <w:p w:rsidR="00802F1F" w:rsidRPr="00802F1F" w:rsidRDefault="00802F1F" w:rsidP="00802F1F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 w:rsidRPr="00802F1F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0" w:type="auto"/>
            <w:hideMark/>
          </w:tcPr>
          <w:p w:rsidR="00802F1F" w:rsidRPr="00802F1F" w:rsidRDefault="00802F1F" w:rsidP="00802F1F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 w:rsidRPr="00802F1F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0" w:type="auto"/>
            <w:hideMark/>
          </w:tcPr>
          <w:p w:rsidR="00802F1F" w:rsidRPr="00802F1F" w:rsidRDefault="00802F1F" w:rsidP="00802F1F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 w:rsidRPr="00802F1F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0" w:type="auto"/>
            <w:hideMark/>
          </w:tcPr>
          <w:p w:rsidR="00802F1F" w:rsidRPr="00802F1F" w:rsidRDefault="00802F1F" w:rsidP="00802F1F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 w:rsidRPr="00802F1F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0" w:type="auto"/>
            <w:hideMark/>
          </w:tcPr>
          <w:p w:rsidR="00802F1F" w:rsidRPr="00802F1F" w:rsidRDefault="00802F1F" w:rsidP="00802F1F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 w:rsidRPr="00802F1F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</w:tr>
      <w:tr w:rsidR="00802F1F" w:rsidRPr="00802F1F" w:rsidTr="00F72672">
        <w:trPr>
          <w:cnfStyle w:val="000000100000"/>
          <w:trHeight w:val="285"/>
        </w:trPr>
        <w:tc>
          <w:tcPr>
            <w:cnfStyle w:val="001000000000"/>
            <w:tcW w:w="0" w:type="auto"/>
            <w:hideMark/>
          </w:tcPr>
          <w:p w:rsidR="00802F1F" w:rsidRPr="00802F1F" w:rsidRDefault="00802F1F" w:rsidP="00802F1F">
            <w:pPr>
              <w:rPr>
                <w:rFonts w:ascii="Calibri" w:eastAsia="Times New Roman" w:hAnsi="Calibri" w:cs="Times New Roman"/>
                <w:color w:val="000000"/>
              </w:rPr>
            </w:pPr>
            <w:r w:rsidRPr="00802F1F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0" w:type="auto"/>
            <w:hideMark/>
          </w:tcPr>
          <w:p w:rsidR="00802F1F" w:rsidRPr="00802F1F" w:rsidRDefault="00802F1F" w:rsidP="00802F1F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802F1F">
              <w:rPr>
                <w:rFonts w:ascii="Calibri" w:eastAsia="Times New Roman" w:hAnsi="Calibri" w:cs="Times New Roman"/>
                <w:color w:val="000000"/>
              </w:rPr>
              <w:t>383.712</w:t>
            </w:r>
          </w:p>
        </w:tc>
        <w:tc>
          <w:tcPr>
            <w:tcW w:w="0" w:type="auto"/>
            <w:hideMark/>
          </w:tcPr>
          <w:p w:rsidR="00802F1F" w:rsidRPr="00802F1F" w:rsidRDefault="00802F1F" w:rsidP="00802F1F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802F1F">
              <w:rPr>
                <w:rFonts w:ascii="Calibri" w:eastAsia="Times New Roman" w:hAnsi="Calibri" w:cs="Times New Roman"/>
                <w:color w:val="000000"/>
              </w:rPr>
              <w:t>332.891</w:t>
            </w:r>
          </w:p>
        </w:tc>
        <w:tc>
          <w:tcPr>
            <w:tcW w:w="0" w:type="auto"/>
            <w:hideMark/>
          </w:tcPr>
          <w:p w:rsidR="00802F1F" w:rsidRPr="00802F1F" w:rsidRDefault="00802F1F" w:rsidP="00802F1F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802F1F">
              <w:rPr>
                <w:rFonts w:ascii="Calibri" w:eastAsia="Times New Roman" w:hAnsi="Calibri" w:cs="Times New Roman"/>
                <w:color w:val="000000"/>
              </w:rPr>
              <w:t>326.719</w:t>
            </w:r>
          </w:p>
        </w:tc>
        <w:tc>
          <w:tcPr>
            <w:tcW w:w="0" w:type="auto"/>
            <w:hideMark/>
          </w:tcPr>
          <w:p w:rsidR="00802F1F" w:rsidRPr="00802F1F" w:rsidRDefault="00802F1F" w:rsidP="00802F1F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802F1F">
              <w:rPr>
                <w:rFonts w:ascii="Calibri" w:eastAsia="Times New Roman" w:hAnsi="Calibri" w:cs="Times New Roman"/>
                <w:color w:val="000000"/>
              </w:rPr>
              <w:t>326.766</w:t>
            </w:r>
          </w:p>
        </w:tc>
        <w:tc>
          <w:tcPr>
            <w:tcW w:w="0" w:type="auto"/>
            <w:hideMark/>
          </w:tcPr>
          <w:p w:rsidR="00802F1F" w:rsidRPr="00802F1F" w:rsidRDefault="00802F1F" w:rsidP="00802F1F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802F1F">
              <w:rPr>
                <w:rFonts w:ascii="Calibri" w:eastAsia="Times New Roman" w:hAnsi="Calibri" w:cs="Times New Roman"/>
                <w:color w:val="000000"/>
              </w:rPr>
              <w:t>352.220</w:t>
            </w:r>
          </w:p>
        </w:tc>
        <w:tc>
          <w:tcPr>
            <w:tcW w:w="0" w:type="auto"/>
            <w:hideMark/>
          </w:tcPr>
          <w:p w:rsidR="00802F1F" w:rsidRPr="00802F1F" w:rsidRDefault="00802F1F" w:rsidP="00802F1F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802F1F">
              <w:rPr>
                <w:rFonts w:ascii="Calibri" w:eastAsia="Times New Roman" w:hAnsi="Calibri" w:cs="Times New Roman"/>
                <w:color w:val="000000"/>
              </w:rPr>
              <w:t>334.166</w:t>
            </w:r>
          </w:p>
        </w:tc>
        <w:tc>
          <w:tcPr>
            <w:tcW w:w="0" w:type="auto"/>
            <w:hideMark/>
          </w:tcPr>
          <w:p w:rsidR="00802F1F" w:rsidRPr="00802F1F" w:rsidRDefault="00802F1F" w:rsidP="00802F1F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802F1F">
              <w:rPr>
                <w:rFonts w:ascii="Calibri" w:eastAsia="Times New Roman" w:hAnsi="Calibri" w:cs="Times New Roman"/>
                <w:color w:val="000000"/>
              </w:rPr>
              <w:t>368.872</w:t>
            </w:r>
          </w:p>
        </w:tc>
        <w:tc>
          <w:tcPr>
            <w:tcW w:w="0" w:type="auto"/>
            <w:hideMark/>
          </w:tcPr>
          <w:p w:rsidR="00802F1F" w:rsidRPr="00802F1F" w:rsidRDefault="00802F1F" w:rsidP="00802F1F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802F1F">
              <w:rPr>
                <w:rFonts w:ascii="Calibri" w:eastAsia="Times New Roman" w:hAnsi="Calibri" w:cs="Times New Roman"/>
                <w:color w:val="000000"/>
              </w:rPr>
              <w:t>414.282</w:t>
            </w:r>
          </w:p>
        </w:tc>
        <w:tc>
          <w:tcPr>
            <w:tcW w:w="0" w:type="auto"/>
            <w:hideMark/>
          </w:tcPr>
          <w:p w:rsidR="00802F1F" w:rsidRPr="00802F1F" w:rsidRDefault="00802F1F" w:rsidP="00802F1F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802F1F">
              <w:rPr>
                <w:rFonts w:ascii="Calibri" w:eastAsia="Times New Roman" w:hAnsi="Calibri" w:cs="Times New Roman"/>
                <w:color w:val="000000"/>
              </w:rPr>
              <w:t>450.596</w:t>
            </w:r>
          </w:p>
        </w:tc>
        <w:tc>
          <w:tcPr>
            <w:tcW w:w="0" w:type="auto"/>
            <w:noWrap/>
            <w:hideMark/>
          </w:tcPr>
          <w:p w:rsidR="00802F1F" w:rsidRPr="00802F1F" w:rsidRDefault="00724403" w:rsidP="00802F1F">
            <w:pPr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</w:t>
            </w:r>
            <w:r w:rsidR="00802F1F" w:rsidRPr="00802F1F">
              <w:rPr>
                <w:rFonts w:ascii="Calibri" w:eastAsia="Times New Roman" w:hAnsi="Calibri" w:cs="Times New Roman"/>
                <w:color w:val="000000"/>
              </w:rPr>
              <w:t xml:space="preserve">486.826 </w:t>
            </w:r>
          </w:p>
        </w:tc>
      </w:tr>
      <w:tr w:rsidR="00F72672" w:rsidRPr="00802F1F" w:rsidTr="00F72672">
        <w:trPr>
          <w:trHeight w:val="285"/>
        </w:trPr>
        <w:tc>
          <w:tcPr>
            <w:cnfStyle w:val="001000000000"/>
            <w:tcW w:w="0" w:type="auto"/>
            <w:hideMark/>
          </w:tcPr>
          <w:p w:rsidR="00802F1F" w:rsidRPr="00802F1F" w:rsidRDefault="00802F1F" w:rsidP="00802F1F">
            <w:pPr>
              <w:rPr>
                <w:rFonts w:ascii="Calibri" w:eastAsia="Times New Roman" w:hAnsi="Calibri" w:cs="Times New Roman"/>
                <w:color w:val="000000"/>
              </w:rPr>
            </w:pPr>
            <w:r w:rsidRPr="00802F1F">
              <w:rPr>
                <w:rFonts w:ascii="Calibri" w:eastAsia="Times New Roman" w:hAnsi="Calibri" w:cs="Times New Roman"/>
                <w:color w:val="000000"/>
              </w:rPr>
              <w:t>Indefinidos</w:t>
            </w:r>
          </w:p>
        </w:tc>
        <w:tc>
          <w:tcPr>
            <w:tcW w:w="0" w:type="auto"/>
            <w:noWrap/>
            <w:hideMark/>
          </w:tcPr>
          <w:p w:rsidR="00802F1F" w:rsidRPr="00802F1F" w:rsidRDefault="00802F1F" w:rsidP="00802F1F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802F1F">
              <w:rPr>
                <w:rFonts w:ascii="Calibri" w:eastAsia="Times New Roman" w:hAnsi="Calibri" w:cs="Times New Roman"/>
                <w:color w:val="000000"/>
              </w:rPr>
              <w:t>38.652</w:t>
            </w:r>
          </w:p>
        </w:tc>
        <w:tc>
          <w:tcPr>
            <w:tcW w:w="0" w:type="auto"/>
            <w:noWrap/>
            <w:hideMark/>
          </w:tcPr>
          <w:p w:rsidR="00802F1F" w:rsidRPr="00802F1F" w:rsidRDefault="00802F1F" w:rsidP="00802F1F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802F1F">
              <w:rPr>
                <w:rFonts w:ascii="Calibri" w:eastAsia="Times New Roman" w:hAnsi="Calibri" w:cs="Times New Roman"/>
                <w:color w:val="000000"/>
              </w:rPr>
              <w:t>30.307</w:t>
            </w:r>
          </w:p>
        </w:tc>
        <w:tc>
          <w:tcPr>
            <w:tcW w:w="0" w:type="auto"/>
            <w:noWrap/>
            <w:hideMark/>
          </w:tcPr>
          <w:p w:rsidR="00802F1F" w:rsidRPr="00802F1F" w:rsidRDefault="00802F1F" w:rsidP="00802F1F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802F1F">
              <w:rPr>
                <w:rFonts w:ascii="Calibri" w:eastAsia="Times New Roman" w:hAnsi="Calibri" w:cs="Times New Roman"/>
                <w:color w:val="000000"/>
              </w:rPr>
              <w:t>27.223</w:t>
            </w:r>
          </w:p>
        </w:tc>
        <w:tc>
          <w:tcPr>
            <w:tcW w:w="0" w:type="auto"/>
            <w:noWrap/>
            <w:hideMark/>
          </w:tcPr>
          <w:p w:rsidR="00802F1F" w:rsidRPr="00802F1F" w:rsidRDefault="00802F1F" w:rsidP="00802F1F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802F1F">
              <w:rPr>
                <w:rFonts w:ascii="Calibri" w:eastAsia="Times New Roman" w:hAnsi="Calibri" w:cs="Times New Roman"/>
                <w:color w:val="000000"/>
              </w:rPr>
              <w:t>23.817</w:t>
            </w:r>
          </w:p>
        </w:tc>
        <w:tc>
          <w:tcPr>
            <w:tcW w:w="0" w:type="auto"/>
            <w:noWrap/>
            <w:hideMark/>
          </w:tcPr>
          <w:p w:rsidR="00802F1F" w:rsidRPr="00802F1F" w:rsidRDefault="00802F1F" w:rsidP="00802F1F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802F1F">
              <w:rPr>
                <w:rFonts w:ascii="Calibri" w:eastAsia="Times New Roman" w:hAnsi="Calibri" w:cs="Times New Roman"/>
                <w:color w:val="000000"/>
              </w:rPr>
              <w:t>47.528</w:t>
            </w:r>
          </w:p>
        </w:tc>
        <w:tc>
          <w:tcPr>
            <w:tcW w:w="0" w:type="auto"/>
            <w:noWrap/>
            <w:hideMark/>
          </w:tcPr>
          <w:p w:rsidR="00802F1F" w:rsidRPr="00802F1F" w:rsidRDefault="00802F1F" w:rsidP="00802F1F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802F1F">
              <w:rPr>
                <w:rFonts w:ascii="Calibri" w:eastAsia="Times New Roman" w:hAnsi="Calibri" w:cs="Times New Roman"/>
                <w:color w:val="000000"/>
              </w:rPr>
              <w:t>26.196</w:t>
            </w:r>
          </w:p>
        </w:tc>
        <w:tc>
          <w:tcPr>
            <w:tcW w:w="0" w:type="auto"/>
            <w:noWrap/>
            <w:hideMark/>
          </w:tcPr>
          <w:p w:rsidR="00802F1F" w:rsidRPr="00802F1F" w:rsidRDefault="00802F1F" w:rsidP="00802F1F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802F1F">
              <w:rPr>
                <w:rFonts w:ascii="Calibri" w:eastAsia="Times New Roman" w:hAnsi="Calibri" w:cs="Times New Roman"/>
                <w:color w:val="000000"/>
              </w:rPr>
              <w:t>29.253</w:t>
            </w:r>
          </w:p>
        </w:tc>
        <w:tc>
          <w:tcPr>
            <w:tcW w:w="0" w:type="auto"/>
            <w:noWrap/>
            <w:hideMark/>
          </w:tcPr>
          <w:p w:rsidR="00802F1F" w:rsidRPr="00802F1F" w:rsidRDefault="00802F1F" w:rsidP="00802F1F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802F1F">
              <w:rPr>
                <w:rFonts w:ascii="Calibri" w:eastAsia="Times New Roman" w:hAnsi="Calibri" w:cs="Times New Roman"/>
                <w:color w:val="000000"/>
              </w:rPr>
              <w:t>30.334</w:t>
            </w:r>
          </w:p>
        </w:tc>
        <w:tc>
          <w:tcPr>
            <w:tcW w:w="0" w:type="auto"/>
            <w:noWrap/>
            <w:hideMark/>
          </w:tcPr>
          <w:p w:rsidR="00802F1F" w:rsidRPr="00802F1F" w:rsidRDefault="00802F1F" w:rsidP="00802F1F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802F1F">
              <w:rPr>
                <w:rFonts w:ascii="Calibri" w:eastAsia="Times New Roman" w:hAnsi="Calibri" w:cs="Times New Roman"/>
                <w:color w:val="000000"/>
              </w:rPr>
              <w:t>33.387</w:t>
            </w:r>
          </w:p>
        </w:tc>
        <w:tc>
          <w:tcPr>
            <w:tcW w:w="0" w:type="auto"/>
            <w:noWrap/>
            <w:hideMark/>
          </w:tcPr>
          <w:p w:rsidR="00802F1F" w:rsidRPr="00802F1F" w:rsidRDefault="00724403" w:rsidP="00802F1F">
            <w:pPr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="00802F1F" w:rsidRPr="00802F1F">
              <w:rPr>
                <w:rFonts w:ascii="Calibri" w:eastAsia="Times New Roman" w:hAnsi="Calibri" w:cs="Times New Roman"/>
                <w:color w:val="000000"/>
              </w:rPr>
              <w:t xml:space="preserve"> 38.158 </w:t>
            </w:r>
          </w:p>
        </w:tc>
      </w:tr>
      <w:tr w:rsidR="00802F1F" w:rsidRPr="00802F1F" w:rsidTr="00F72672">
        <w:trPr>
          <w:cnfStyle w:val="000000100000"/>
          <w:trHeight w:val="285"/>
        </w:trPr>
        <w:tc>
          <w:tcPr>
            <w:cnfStyle w:val="001000000000"/>
            <w:tcW w:w="0" w:type="auto"/>
            <w:hideMark/>
          </w:tcPr>
          <w:p w:rsidR="00802F1F" w:rsidRPr="00802F1F" w:rsidRDefault="00802F1F" w:rsidP="00802F1F">
            <w:pPr>
              <w:rPr>
                <w:rFonts w:ascii="Calibri" w:eastAsia="Times New Roman" w:hAnsi="Calibri" w:cs="Times New Roman"/>
                <w:color w:val="000000"/>
              </w:rPr>
            </w:pPr>
            <w:r w:rsidRPr="00802F1F">
              <w:rPr>
                <w:rFonts w:ascii="Calibri" w:eastAsia="Times New Roman" w:hAnsi="Calibri" w:cs="Times New Roman"/>
                <w:color w:val="000000"/>
              </w:rPr>
              <w:t>Temporais</w:t>
            </w:r>
          </w:p>
        </w:tc>
        <w:tc>
          <w:tcPr>
            <w:tcW w:w="0" w:type="auto"/>
            <w:noWrap/>
            <w:hideMark/>
          </w:tcPr>
          <w:p w:rsidR="00802F1F" w:rsidRPr="00802F1F" w:rsidRDefault="00802F1F" w:rsidP="00802F1F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802F1F">
              <w:rPr>
                <w:rFonts w:ascii="Calibri" w:eastAsia="Times New Roman" w:hAnsi="Calibri" w:cs="Times New Roman"/>
                <w:color w:val="000000"/>
              </w:rPr>
              <w:t>345.060</w:t>
            </w:r>
          </w:p>
        </w:tc>
        <w:tc>
          <w:tcPr>
            <w:tcW w:w="0" w:type="auto"/>
            <w:noWrap/>
            <w:hideMark/>
          </w:tcPr>
          <w:p w:rsidR="00802F1F" w:rsidRPr="00802F1F" w:rsidRDefault="00802F1F" w:rsidP="00802F1F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802F1F">
              <w:rPr>
                <w:rFonts w:ascii="Calibri" w:eastAsia="Times New Roman" w:hAnsi="Calibri" w:cs="Times New Roman"/>
                <w:color w:val="000000"/>
              </w:rPr>
              <w:t>302.584</w:t>
            </w:r>
          </w:p>
        </w:tc>
        <w:tc>
          <w:tcPr>
            <w:tcW w:w="0" w:type="auto"/>
            <w:noWrap/>
            <w:hideMark/>
          </w:tcPr>
          <w:p w:rsidR="00802F1F" w:rsidRPr="00802F1F" w:rsidRDefault="00802F1F" w:rsidP="00802F1F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802F1F">
              <w:rPr>
                <w:rFonts w:ascii="Calibri" w:eastAsia="Times New Roman" w:hAnsi="Calibri" w:cs="Times New Roman"/>
                <w:color w:val="000000"/>
              </w:rPr>
              <w:t>299.496</w:t>
            </w:r>
          </w:p>
        </w:tc>
        <w:tc>
          <w:tcPr>
            <w:tcW w:w="0" w:type="auto"/>
            <w:noWrap/>
            <w:hideMark/>
          </w:tcPr>
          <w:p w:rsidR="00802F1F" w:rsidRPr="00802F1F" w:rsidRDefault="00802F1F" w:rsidP="00802F1F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802F1F">
              <w:rPr>
                <w:rFonts w:ascii="Calibri" w:eastAsia="Times New Roman" w:hAnsi="Calibri" w:cs="Times New Roman"/>
                <w:color w:val="000000"/>
              </w:rPr>
              <w:t>302.949</w:t>
            </w:r>
          </w:p>
        </w:tc>
        <w:tc>
          <w:tcPr>
            <w:tcW w:w="0" w:type="auto"/>
            <w:noWrap/>
            <w:hideMark/>
          </w:tcPr>
          <w:p w:rsidR="00802F1F" w:rsidRPr="00802F1F" w:rsidRDefault="00802F1F" w:rsidP="00802F1F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802F1F">
              <w:rPr>
                <w:rFonts w:ascii="Calibri" w:eastAsia="Times New Roman" w:hAnsi="Calibri" w:cs="Times New Roman"/>
                <w:color w:val="000000"/>
              </w:rPr>
              <w:t>304.692</w:t>
            </w:r>
          </w:p>
        </w:tc>
        <w:tc>
          <w:tcPr>
            <w:tcW w:w="0" w:type="auto"/>
            <w:noWrap/>
            <w:hideMark/>
          </w:tcPr>
          <w:p w:rsidR="00802F1F" w:rsidRPr="00802F1F" w:rsidRDefault="00802F1F" w:rsidP="00802F1F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802F1F">
              <w:rPr>
                <w:rFonts w:ascii="Calibri" w:eastAsia="Times New Roman" w:hAnsi="Calibri" w:cs="Times New Roman"/>
                <w:color w:val="000000"/>
              </w:rPr>
              <w:t>307.970</w:t>
            </w:r>
          </w:p>
        </w:tc>
        <w:tc>
          <w:tcPr>
            <w:tcW w:w="0" w:type="auto"/>
            <w:noWrap/>
            <w:hideMark/>
          </w:tcPr>
          <w:p w:rsidR="00802F1F" w:rsidRPr="00802F1F" w:rsidRDefault="00802F1F" w:rsidP="00802F1F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802F1F">
              <w:rPr>
                <w:rFonts w:ascii="Calibri" w:eastAsia="Times New Roman" w:hAnsi="Calibri" w:cs="Times New Roman"/>
                <w:color w:val="000000"/>
              </w:rPr>
              <w:t>339.619</w:t>
            </w:r>
          </w:p>
        </w:tc>
        <w:tc>
          <w:tcPr>
            <w:tcW w:w="0" w:type="auto"/>
            <w:noWrap/>
            <w:hideMark/>
          </w:tcPr>
          <w:p w:rsidR="00802F1F" w:rsidRPr="00802F1F" w:rsidRDefault="00802F1F" w:rsidP="00802F1F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802F1F">
              <w:rPr>
                <w:rFonts w:ascii="Calibri" w:eastAsia="Times New Roman" w:hAnsi="Calibri" w:cs="Times New Roman"/>
                <w:color w:val="000000"/>
              </w:rPr>
              <w:t>383.948</w:t>
            </w:r>
          </w:p>
        </w:tc>
        <w:tc>
          <w:tcPr>
            <w:tcW w:w="0" w:type="auto"/>
            <w:noWrap/>
            <w:hideMark/>
          </w:tcPr>
          <w:p w:rsidR="00802F1F" w:rsidRPr="00802F1F" w:rsidRDefault="00802F1F" w:rsidP="00802F1F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802F1F">
              <w:rPr>
                <w:rFonts w:ascii="Calibri" w:eastAsia="Times New Roman" w:hAnsi="Calibri" w:cs="Times New Roman"/>
                <w:color w:val="000000"/>
              </w:rPr>
              <w:t>417.209</w:t>
            </w:r>
          </w:p>
        </w:tc>
        <w:tc>
          <w:tcPr>
            <w:tcW w:w="0" w:type="auto"/>
            <w:noWrap/>
            <w:hideMark/>
          </w:tcPr>
          <w:p w:rsidR="00802F1F" w:rsidRPr="00802F1F" w:rsidRDefault="00724403" w:rsidP="00802F1F">
            <w:pPr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</w:t>
            </w:r>
            <w:r w:rsidR="00802F1F" w:rsidRPr="00802F1F">
              <w:rPr>
                <w:rFonts w:ascii="Calibri" w:eastAsia="Times New Roman" w:hAnsi="Calibri" w:cs="Times New Roman"/>
                <w:color w:val="000000"/>
              </w:rPr>
              <w:t xml:space="preserve">448.668 </w:t>
            </w:r>
          </w:p>
        </w:tc>
      </w:tr>
    </w:tbl>
    <w:p w:rsidR="00802F1F" w:rsidRPr="00BA432E" w:rsidRDefault="00802F1F" w:rsidP="00A81E1A">
      <w:pPr>
        <w:jc w:val="both"/>
        <w:rPr>
          <w:rFonts w:ascii="Arial" w:hAnsi="Arial" w:cs="Arial"/>
          <w:i/>
          <w:sz w:val="24"/>
          <w:szCs w:val="24"/>
          <w:lang w:val="gl-ES"/>
        </w:rPr>
      </w:pPr>
      <w:r w:rsidRPr="00BA432E">
        <w:rPr>
          <w:rFonts w:ascii="Arial" w:hAnsi="Arial" w:cs="Arial"/>
          <w:i/>
          <w:sz w:val="24"/>
          <w:szCs w:val="24"/>
          <w:lang w:val="gl-ES"/>
        </w:rPr>
        <w:t>Fonte: SEPE</w:t>
      </w:r>
    </w:p>
    <w:p w:rsidR="00760F19" w:rsidRDefault="00760F19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 w:rsidRPr="00760F19"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5610225" cy="2743200"/>
            <wp:effectExtent l="19050" t="0" r="9525" b="0"/>
            <wp:docPr id="6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0696B" w:rsidRDefault="0040696B" w:rsidP="00A81E1A">
      <w:pPr>
        <w:jc w:val="both"/>
        <w:rPr>
          <w:rFonts w:ascii="Arial" w:hAnsi="Arial" w:cs="Arial"/>
          <w:sz w:val="24"/>
          <w:szCs w:val="24"/>
          <w:lang w:val="gl-ES"/>
        </w:rPr>
      </w:pPr>
    </w:p>
    <w:p w:rsidR="00425407" w:rsidRDefault="00425407" w:rsidP="00425407">
      <w:pPr>
        <w:jc w:val="both"/>
        <w:rPr>
          <w:rFonts w:ascii="Arial" w:eastAsia="Times New Roman" w:hAnsi="Arial" w:cs="Arial"/>
          <w:color w:val="000000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A pesar de descender </w:t>
      </w:r>
      <w:r w:rsidR="0040696B">
        <w:rPr>
          <w:rFonts w:ascii="Arial" w:hAnsi="Arial" w:cs="Arial"/>
          <w:sz w:val="24"/>
          <w:szCs w:val="24"/>
          <w:lang w:val="gl-ES"/>
        </w:rPr>
        <w:t>o número de mulleres ocupadas,</w:t>
      </w:r>
      <w:r>
        <w:rPr>
          <w:rFonts w:ascii="Arial" w:hAnsi="Arial" w:cs="Arial"/>
          <w:sz w:val="24"/>
          <w:szCs w:val="24"/>
          <w:lang w:val="gl-ES"/>
        </w:rPr>
        <w:t xml:space="preserve"> o número de contratos continuo</w:t>
      </w:r>
      <w:r w:rsidR="0040696B">
        <w:rPr>
          <w:rFonts w:ascii="Arial" w:hAnsi="Arial" w:cs="Arial"/>
          <w:sz w:val="24"/>
          <w:szCs w:val="24"/>
          <w:lang w:val="gl-ES"/>
        </w:rPr>
        <w:t>u</w:t>
      </w:r>
      <w:r>
        <w:rPr>
          <w:rFonts w:ascii="Arial" w:hAnsi="Arial" w:cs="Arial"/>
          <w:sz w:val="24"/>
          <w:szCs w:val="24"/>
          <w:lang w:val="gl-ES"/>
        </w:rPr>
        <w:t xml:space="preserve"> sendo moi elevado durante t</w:t>
      </w:r>
      <w:r w:rsidR="00724403">
        <w:rPr>
          <w:rFonts w:ascii="Arial" w:hAnsi="Arial" w:cs="Arial"/>
          <w:sz w:val="24"/>
          <w:szCs w:val="24"/>
          <w:lang w:val="gl-ES"/>
        </w:rPr>
        <w:t>odos os</w:t>
      </w:r>
      <w:r>
        <w:rPr>
          <w:rFonts w:ascii="Arial" w:hAnsi="Arial" w:cs="Arial"/>
          <w:sz w:val="24"/>
          <w:szCs w:val="24"/>
          <w:lang w:val="gl-ES"/>
        </w:rPr>
        <w:t xml:space="preserve"> anos da crise, especialmente a contratación temporal. No último ano </w:t>
      </w:r>
      <w:r w:rsidR="006C4606">
        <w:rPr>
          <w:rFonts w:ascii="Arial" w:hAnsi="Arial" w:cs="Arial"/>
          <w:sz w:val="24"/>
          <w:szCs w:val="24"/>
          <w:lang w:val="gl-ES"/>
        </w:rPr>
        <w:t>(</w:t>
      </w:r>
      <w:r>
        <w:rPr>
          <w:rFonts w:ascii="Arial" w:hAnsi="Arial" w:cs="Arial"/>
          <w:sz w:val="24"/>
          <w:szCs w:val="24"/>
          <w:lang w:val="gl-ES"/>
        </w:rPr>
        <w:t>2017</w:t>
      </w:r>
      <w:r w:rsidR="006C4606">
        <w:rPr>
          <w:rFonts w:ascii="Arial" w:hAnsi="Arial" w:cs="Arial"/>
          <w:sz w:val="24"/>
          <w:szCs w:val="24"/>
          <w:lang w:val="gl-ES"/>
        </w:rPr>
        <w:t>)</w:t>
      </w:r>
      <w:r>
        <w:rPr>
          <w:rFonts w:ascii="Arial" w:hAnsi="Arial" w:cs="Arial"/>
          <w:sz w:val="24"/>
          <w:szCs w:val="24"/>
          <w:lang w:val="gl-ES"/>
        </w:rPr>
        <w:t xml:space="preserve">, rexistráronse 486.826 contratos, o </w:t>
      </w:r>
      <w:r>
        <w:rPr>
          <w:rFonts w:ascii="Arial" w:hAnsi="Arial" w:cs="Arial"/>
          <w:sz w:val="24"/>
          <w:szCs w:val="24"/>
          <w:lang w:val="gl-ES"/>
        </w:rPr>
        <w:lastRenderedPageBreak/>
        <w:t>92% baixo algunha das modalidades de contratación temporal.</w:t>
      </w:r>
      <w:r w:rsidR="0040696B">
        <w:rPr>
          <w:rFonts w:ascii="Arial" w:hAnsi="Arial" w:cs="Arial"/>
          <w:sz w:val="24"/>
          <w:szCs w:val="24"/>
          <w:lang w:val="gl-ES"/>
        </w:rPr>
        <w:t xml:space="preserve"> Foron 448.668 os contratos temporais rexistrados a nome de mulleres durante 2017, contratos que compartiron as 117.500 asalariadas que non dispoñen dun contrato indefinido, o que</w:t>
      </w:r>
      <w:r w:rsidR="00AC5FD9" w:rsidRPr="00AC5FD9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 d</w:t>
      </w:r>
      <w:r w:rsidR="006C4606">
        <w:rPr>
          <w:rFonts w:ascii="Arial" w:eastAsia="Times New Roman" w:hAnsi="Arial" w:cs="Arial"/>
          <w:color w:val="000000"/>
          <w:sz w:val="24"/>
          <w:szCs w:val="24"/>
          <w:lang w:val="gl-ES"/>
        </w:rPr>
        <w:t>á</w:t>
      </w:r>
      <w:r w:rsidR="00AC5FD9" w:rsidRPr="00AC5FD9">
        <w:rPr>
          <w:rFonts w:ascii="Arial" w:eastAsia="Times New Roman" w:hAnsi="Arial" w:cs="Arial"/>
          <w:color w:val="000000"/>
          <w:sz w:val="24"/>
          <w:szCs w:val="24"/>
          <w:lang w:val="gl-ES"/>
        </w:rPr>
        <w:t xml:space="preserve"> unha media de </w:t>
      </w:r>
      <w:r w:rsidR="006C4606">
        <w:rPr>
          <w:rFonts w:ascii="Arial" w:eastAsia="Times New Roman" w:hAnsi="Arial" w:cs="Arial"/>
          <w:color w:val="000000"/>
          <w:sz w:val="24"/>
          <w:szCs w:val="24"/>
          <w:lang w:val="gl-ES"/>
        </w:rPr>
        <w:t>3,8 contratos a cada muller. L</w:t>
      </w:r>
      <w:r w:rsidR="00AC5FD9">
        <w:rPr>
          <w:rFonts w:ascii="Arial" w:eastAsia="Times New Roman" w:hAnsi="Arial" w:cs="Arial"/>
          <w:color w:val="000000"/>
          <w:sz w:val="24"/>
          <w:szCs w:val="24"/>
          <w:lang w:val="gl-ES"/>
        </w:rPr>
        <w:t>oxicamente isto explícase pola escasa duración d</w:t>
      </w:r>
      <w:r w:rsidR="006C4606">
        <w:rPr>
          <w:rFonts w:ascii="Arial" w:eastAsia="Times New Roman" w:hAnsi="Arial" w:cs="Arial"/>
          <w:color w:val="000000"/>
          <w:sz w:val="24"/>
          <w:szCs w:val="24"/>
          <w:lang w:val="gl-ES"/>
        </w:rPr>
        <w:t>estes contratos.</w:t>
      </w:r>
    </w:p>
    <w:p w:rsidR="00760F19" w:rsidRPr="00464DC1" w:rsidRDefault="00464DC1" w:rsidP="00464DC1">
      <w:pPr>
        <w:jc w:val="center"/>
        <w:rPr>
          <w:rFonts w:ascii="Arial" w:hAnsi="Arial" w:cs="Arial"/>
          <w:b/>
          <w:sz w:val="24"/>
          <w:szCs w:val="24"/>
          <w:lang w:val="gl-ES"/>
        </w:rPr>
      </w:pPr>
      <w:r w:rsidRPr="00464DC1">
        <w:rPr>
          <w:rFonts w:ascii="Arial" w:hAnsi="Arial" w:cs="Arial"/>
          <w:b/>
          <w:sz w:val="24"/>
          <w:szCs w:val="24"/>
          <w:lang w:val="gl-ES"/>
        </w:rPr>
        <w:t>Cada muller con contrato temporal asinou unha media de 3,8 contratos durante 2017</w:t>
      </w:r>
    </w:p>
    <w:p w:rsidR="00FB1CA3" w:rsidRDefault="00FB1CA3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Contratos segundo</w:t>
      </w:r>
      <w:r w:rsidR="00280A7A">
        <w:rPr>
          <w:rFonts w:ascii="Arial" w:hAnsi="Arial" w:cs="Arial"/>
          <w:sz w:val="24"/>
          <w:szCs w:val="24"/>
          <w:lang w:val="gl-ES"/>
        </w:rPr>
        <w:t xml:space="preserve"> </w:t>
      </w:r>
      <w:r>
        <w:rPr>
          <w:rFonts w:ascii="Arial" w:hAnsi="Arial" w:cs="Arial"/>
          <w:sz w:val="24"/>
          <w:szCs w:val="24"/>
          <w:lang w:val="gl-ES"/>
        </w:rPr>
        <w:t>duración do contrato.</w:t>
      </w:r>
    </w:p>
    <w:tbl>
      <w:tblPr>
        <w:tblStyle w:val="Sombreadoclaro-nfasis4"/>
        <w:tblW w:w="0" w:type="auto"/>
        <w:tblLook w:val="04A0"/>
      </w:tblPr>
      <w:tblGrid>
        <w:gridCol w:w="2236"/>
        <w:gridCol w:w="1190"/>
        <w:gridCol w:w="606"/>
      </w:tblGrid>
      <w:tr w:rsidR="00FB1CA3" w:rsidRPr="00FB1CA3" w:rsidTr="00FB1CA3">
        <w:trPr>
          <w:cnfStyle w:val="100000000000"/>
          <w:trHeight w:val="300"/>
        </w:trPr>
        <w:tc>
          <w:tcPr>
            <w:cnfStyle w:val="001000000000"/>
            <w:tcW w:w="0" w:type="auto"/>
            <w:hideMark/>
          </w:tcPr>
          <w:p w:rsidR="00FB1CA3" w:rsidRPr="00FB1CA3" w:rsidRDefault="00FB1CA3" w:rsidP="00FB1CA3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</w:p>
        </w:tc>
        <w:tc>
          <w:tcPr>
            <w:tcW w:w="0" w:type="auto"/>
            <w:noWrap/>
            <w:hideMark/>
          </w:tcPr>
          <w:p w:rsidR="00FB1CA3" w:rsidRPr="00FB1CA3" w:rsidRDefault="00FB1CA3" w:rsidP="00FB1CA3">
            <w:pPr>
              <w:cnfStyle w:val="1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</w:p>
        </w:tc>
        <w:tc>
          <w:tcPr>
            <w:tcW w:w="0" w:type="auto"/>
            <w:noWrap/>
            <w:hideMark/>
          </w:tcPr>
          <w:p w:rsidR="00FB1CA3" w:rsidRPr="00FB1CA3" w:rsidRDefault="00FB1CA3" w:rsidP="00FB1CA3">
            <w:pPr>
              <w:cnfStyle w:val="1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</w:p>
        </w:tc>
      </w:tr>
      <w:tr w:rsidR="00FB1CA3" w:rsidRPr="00FB1CA3" w:rsidTr="00FB1CA3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FB1CA3" w:rsidRPr="00FB1CA3" w:rsidRDefault="00FB1CA3" w:rsidP="00FB1CA3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B1CA3">
              <w:rPr>
                <w:rFonts w:ascii="Calibri" w:eastAsia="Times New Roman" w:hAnsi="Calibri" w:cs="Times New Roman"/>
                <w:color w:val="000000"/>
                <w:lang w:val="gl-ES"/>
              </w:rPr>
              <w:t>Total</w:t>
            </w:r>
          </w:p>
        </w:tc>
        <w:tc>
          <w:tcPr>
            <w:tcW w:w="0" w:type="auto"/>
            <w:noWrap/>
            <w:hideMark/>
          </w:tcPr>
          <w:p w:rsidR="00FB1CA3" w:rsidRPr="00FB1CA3" w:rsidRDefault="00724403" w:rsidP="00FB1CA3">
            <w:pPr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   </w:t>
            </w:r>
            <w:r w:rsidR="00FB1CA3" w:rsidRPr="00FB1CA3"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484.262 </w:t>
            </w:r>
          </w:p>
        </w:tc>
        <w:tc>
          <w:tcPr>
            <w:tcW w:w="0" w:type="auto"/>
            <w:noWrap/>
            <w:hideMark/>
          </w:tcPr>
          <w:p w:rsidR="00FB1CA3" w:rsidRPr="00FB1CA3" w:rsidRDefault="00FB1CA3" w:rsidP="00FB1CA3">
            <w:pPr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</w:p>
        </w:tc>
      </w:tr>
      <w:tr w:rsidR="00FB1CA3" w:rsidRPr="00FB1CA3" w:rsidTr="00FB1CA3">
        <w:trPr>
          <w:trHeight w:val="300"/>
        </w:trPr>
        <w:tc>
          <w:tcPr>
            <w:cnfStyle w:val="001000000000"/>
            <w:tcW w:w="0" w:type="auto"/>
            <w:hideMark/>
          </w:tcPr>
          <w:p w:rsidR="00FB1CA3" w:rsidRPr="00FB1CA3" w:rsidRDefault="00FB1CA3" w:rsidP="00FB1CA3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B1CA3">
              <w:rPr>
                <w:rFonts w:ascii="Calibri" w:eastAsia="Times New Roman" w:hAnsi="Calibri" w:cs="Times New Roman"/>
                <w:color w:val="000000"/>
                <w:lang w:val="gl-ES"/>
              </w:rPr>
              <w:t>Indefinidos</w:t>
            </w:r>
          </w:p>
        </w:tc>
        <w:tc>
          <w:tcPr>
            <w:tcW w:w="0" w:type="auto"/>
            <w:noWrap/>
            <w:hideMark/>
          </w:tcPr>
          <w:p w:rsidR="00FB1CA3" w:rsidRPr="00FB1CA3" w:rsidRDefault="00724403" w:rsidP="00FB1CA3">
            <w:pPr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    </w:t>
            </w:r>
            <w:r w:rsidR="00FB1CA3" w:rsidRPr="00FB1CA3"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22.909 </w:t>
            </w:r>
          </w:p>
        </w:tc>
        <w:tc>
          <w:tcPr>
            <w:tcW w:w="0" w:type="auto"/>
            <w:noWrap/>
            <w:hideMark/>
          </w:tcPr>
          <w:p w:rsidR="00FB1CA3" w:rsidRPr="00FB1CA3" w:rsidRDefault="00FB1CA3" w:rsidP="00FB1CA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B1CA3">
              <w:rPr>
                <w:rFonts w:ascii="Calibri" w:eastAsia="Times New Roman" w:hAnsi="Calibri" w:cs="Times New Roman"/>
                <w:color w:val="000000"/>
                <w:lang w:val="gl-ES"/>
              </w:rPr>
              <w:t>4,7</w:t>
            </w:r>
          </w:p>
        </w:tc>
      </w:tr>
      <w:tr w:rsidR="00FB1CA3" w:rsidRPr="00FB1CA3" w:rsidTr="00FB1CA3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FB1CA3" w:rsidRPr="00FB1CA3" w:rsidRDefault="00FB1CA3" w:rsidP="00FB1CA3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B1CA3">
              <w:rPr>
                <w:rFonts w:ascii="Calibri" w:eastAsia="Times New Roman" w:hAnsi="Calibri" w:cs="Times New Roman"/>
                <w:color w:val="000000"/>
                <w:lang w:val="gl-ES"/>
              </w:rPr>
              <w:t>Temporais</w:t>
            </w:r>
          </w:p>
        </w:tc>
        <w:tc>
          <w:tcPr>
            <w:tcW w:w="0" w:type="auto"/>
            <w:noWrap/>
            <w:hideMark/>
          </w:tcPr>
          <w:p w:rsidR="00FB1CA3" w:rsidRPr="00FB1CA3" w:rsidRDefault="00724403" w:rsidP="00FB1CA3">
            <w:pPr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   </w:t>
            </w:r>
            <w:r w:rsidR="00FB1CA3" w:rsidRPr="00FB1CA3"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461.353 </w:t>
            </w:r>
          </w:p>
        </w:tc>
        <w:tc>
          <w:tcPr>
            <w:tcW w:w="0" w:type="auto"/>
            <w:noWrap/>
            <w:hideMark/>
          </w:tcPr>
          <w:p w:rsidR="00FB1CA3" w:rsidRPr="00FB1CA3" w:rsidRDefault="00FB1CA3" w:rsidP="00FB1CA3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B1CA3">
              <w:rPr>
                <w:rFonts w:ascii="Calibri" w:eastAsia="Times New Roman" w:hAnsi="Calibri" w:cs="Times New Roman"/>
                <w:color w:val="000000"/>
                <w:lang w:val="gl-ES"/>
              </w:rPr>
              <w:t>95,3</w:t>
            </w:r>
          </w:p>
        </w:tc>
      </w:tr>
      <w:tr w:rsidR="00FB1CA3" w:rsidRPr="00FB1CA3" w:rsidTr="00FB1CA3">
        <w:trPr>
          <w:trHeight w:val="300"/>
        </w:trPr>
        <w:tc>
          <w:tcPr>
            <w:cnfStyle w:val="001000000000"/>
            <w:tcW w:w="0" w:type="auto"/>
            <w:hideMark/>
          </w:tcPr>
          <w:p w:rsidR="00FB1CA3" w:rsidRPr="00FB1CA3" w:rsidRDefault="00724403" w:rsidP="00FB1CA3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</w:t>
            </w:r>
            <w:r w:rsidR="00FB1CA3" w:rsidRPr="00FB1CA3">
              <w:rPr>
                <w:rFonts w:ascii="Calibri" w:eastAsia="Times New Roman" w:hAnsi="Calibri" w:cs="Times New Roman"/>
                <w:color w:val="000000"/>
                <w:lang w:val="gl-ES"/>
              </w:rPr>
              <w:t> Menos de 1 semana</w:t>
            </w:r>
          </w:p>
        </w:tc>
        <w:tc>
          <w:tcPr>
            <w:tcW w:w="0" w:type="auto"/>
            <w:noWrap/>
            <w:hideMark/>
          </w:tcPr>
          <w:p w:rsidR="00FB1CA3" w:rsidRPr="00FB1CA3" w:rsidRDefault="00724403" w:rsidP="00FB1CA3">
            <w:pPr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   </w:t>
            </w:r>
            <w:r w:rsidR="00FB1CA3" w:rsidRPr="00FB1CA3"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160.956 </w:t>
            </w:r>
          </w:p>
        </w:tc>
        <w:tc>
          <w:tcPr>
            <w:tcW w:w="0" w:type="auto"/>
            <w:noWrap/>
            <w:hideMark/>
          </w:tcPr>
          <w:p w:rsidR="00FB1CA3" w:rsidRPr="00FB1CA3" w:rsidRDefault="00FB1CA3" w:rsidP="00FB1CA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B1CA3">
              <w:rPr>
                <w:rFonts w:ascii="Calibri" w:eastAsia="Times New Roman" w:hAnsi="Calibri" w:cs="Times New Roman"/>
                <w:color w:val="000000"/>
                <w:lang w:val="gl-ES"/>
              </w:rPr>
              <w:t>34,9</w:t>
            </w:r>
          </w:p>
        </w:tc>
      </w:tr>
      <w:tr w:rsidR="00FB1CA3" w:rsidRPr="00FB1CA3" w:rsidTr="00FB1CA3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FB1CA3" w:rsidRPr="00FB1CA3" w:rsidRDefault="00724403" w:rsidP="00FB1CA3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</w:t>
            </w:r>
            <w:r w:rsidR="00FB1CA3" w:rsidRPr="00FB1CA3">
              <w:rPr>
                <w:rFonts w:ascii="Calibri" w:eastAsia="Times New Roman" w:hAnsi="Calibri" w:cs="Times New Roman"/>
                <w:color w:val="000000"/>
                <w:lang w:val="gl-ES"/>
              </w:rPr>
              <w:t> De 1 semana a 1 mes</w:t>
            </w:r>
          </w:p>
        </w:tc>
        <w:tc>
          <w:tcPr>
            <w:tcW w:w="0" w:type="auto"/>
            <w:noWrap/>
            <w:hideMark/>
          </w:tcPr>
          <w:p w:rsidR="00FB1CA3" w:rsidRPr="00FB1CA3" w:rsidRDefault="00724403" w:rsidP="00FB1CA3">
            <w:pPr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    </w:t>
            </w:r>
            <w:r w:rsidR="00FB1CA3" w:rsidRPr="00FB1CA3"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58.467 </w:t>
            </w:r>
          </w:p>
        </w:tc>
        <w:tc>
          <w:tcPr>
            <w:tcW w:w="0" w:type="auto"/>
            <w:noWrap/>
            <w:hideMark/>
          </w:tcPr>
          <w:p w:rsidR="00FB1CA3" w:rsidRPr="00FB1CA3" w:rsidRDefault="00FB1CA3" w:rsidP="00FB1CA3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B1CA3">
              <w:rPr>
                <w:rFonts w:ascii="Calibri" w:eastAsia="Times New Roman" w:hAnsi="Calibri" w:cs="Times New Roman"/>
                <w:color w:val="000000"/>
                <w:lang w:val="gl-ES"/>
              </w:rPr>
              <w:t>12,7</w:t>
            </w:r>
          </w:p>
        </w:tc>
      </w:tr>
      <w:tr w:rsidR="00FB1CA3" w:rsidRPr="00FB1CA3" w:rsidTr="00FB1CA3">
        <w:trPr>
          <w:trHeight w:val="300"/>
        </w:trPr>
        <w:tc>
          <w:tcPr>
            <w:cnfStyle w:val="001000000000"/>
            <w:tcW w:w="0" w:type="auto"/>
            <w:hideMark/>
          </w:tcPr>
          <w:p w:rsidR="00FB1CA3" w:rsidRPr="00FB1CA3" w:rsidRDefault="00724403" w:rsidP="00FB1CA3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</w:t>
            </w:r>
            <w:r w:rsidR="00FB1CA3" w:rsidRPr="00FB1CA3">
              <w:rPr>
                <w:rFonts w:ascii="Calibri" w:eastAsia="Times New Roman" w:hAnsi="Calibri" w:cs="Times New Roman"/>
                <w:color w:val="000000"/>
                <w:lang w:val="gl-ES"/>
              </w:rPr>
              <w:t> De 1 a 6 meses</w:t>
            </w:r>
          </w:p>
        </w:tc>
        <w:tc>
          <w:tcPr>
            <w:tcW w:w="0" w:type="auto"/>
            <w:noWrap/>
            <w:hideMark/>
          </w:tcPr>
          <w:p w:rsidR="00FB1CA3" w:rsidRPr="00FB1CA3" w:rsidRDefault="00724403" w:rsidP="00FB1CA3">
            <w:pPr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    </w:t>
            </w:r>
            <w:r w:rsidR="00FB1CA3" w:rsidRPr="00FB1CA3"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87.735 </w:t>
            </w:r>
          </w:p>
        </w:tc>
        <w:tc>
          <w:tcPr>
            <w:tcW w:w="0" w:type="auto"/>
            <w:noWrap/>
            <w:hideMark/>
          </w:tcPr>
          <w:p w:rsidR="00FB1CA3" w:rsidRPr="00FB1CA3" w:rsidRDefault="00FB1CA3" w:rsidP="00FB1CA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B1CA3">
              <w:rPr>
                <w:rFonts w:ascii="Calibri" w:eastAsia="Times New Roman" w:hAnsi="Calibri" w:cs="Times New Roman"/>
                <w:color w:val="000000"/>
                <w:lang w:val="gl-ES"/>
              </w:rPr>
              <w:t>19,0</w:t>
            </w:r>
          </w:p>
        </w:tc>
      </w:tr>
      <w:tr w:rsidR="00FB1CA3" w:rsidRPr="00FB1CA3" w:rsidTr="00FB1CA3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FB1CA3" w:rsidRPr="00FB1CA3" w:rsidRDefault="00724403" w:rsidP="00FB1CA3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</w:t>
            </w:r>
            <w:r w:rsidR="00FB1CA3" w:rsidRPr="00FB1CA3">
              <w:rPr>
                <w:rFonts w:ascii="Calibri" w:eastAsia="Times New Roman" w:hAnsi="Calibri" w:cs="Times New Roman"/>
                <w:color w:val="000000"/>
                <w:lang w:val="gl-ES"/>
              </w:rPr>
              <w:t> De 6 meses a 1 ano</w:t>
            </w:r>
          </w:p>
        </w:tc>
        <w:tc>
          <w:tcPr>
            <w:tcW w:w="0" w:type="auto"/>
            <w:noWrap/>
            <w:hideMark/>
          </w:tcPr>
          <w:p w:rsidR="00FB1CA3" w:rsidRPr="00FB1CA3" w:rsidRDefault="00724403" w:rsidP="00FB1CA3">
            <w:pPr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    </w:t>
            </w:r>
            <w:r w:rsidR="00FB1CA3" w:rsidRPr="00FB1CA3"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11.942 </w:t>
            </w:r>
          </w:p>
        </w:tc>
        <w:tc>
          <w:tcPr>
            <w:tcW w:w="0" w:type="auto"/>
            <w:noWrap/>
            <w:hideMark/>
          </w:tcPr>
          <w:p w:rsidR="00FB1CA3" w:rsidRPr="00FB1CA3" w:rsidRDefault="00FB1CA3" w:rsidP="00FB1CA3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B1CA3">
              <w:rPr>
                <w:rFonts w:ascii="Calibri" w:eastAsia="Times New Roman" w:hAnsi="Calibri" w:cs="Times New Roman"/>
                <w:color w:val="000000"/>
                <w:lang w:val="gl-ES"/>
              </w:rPr>
              <w:t>2,6</w:t>
            </w:r>
          </w:p>
        </w:tc>
      </w:tr>
      <w:tr w:rsidR="00FB1CA3" w:rsidRPr="00FB1CA3" w:rsidTr="00FB1CA3">
        <w:trPr>
          <w:trHeight w:val="300"/>
        </w:trPr>
        <w:tc>
          <w:tcPr>
            <w:cnfStyle w:val="001000000000"/>
            <w:tcW w:w="0" w:type="auto"/>
            <w:hideMark/>
          </w:tcPr>
          <w:p w:rsidR="00FB1CA3" w:rsidRPr="00FB1CA3" w:rsidRDefault="00724403" w:rsidP="00FB1CA3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</w:t>
            </w:r>
            <w:r w:rsidR="00FB1CA3" w:rsidRPr="00FB1CA3">
              <w:rPr>
                <w:rFonts w:ascii="Calibri" w:eastAsia="Times New Roman" w:hAnsi="Calibri" w:cs="Times New Roman"/>
                <w:color w:val="000000"/>
                <w:lang w:val="gl-ES"/>
              </w:rPr>
              <w:t> Máis de 1 ano</w:t>
            </w:r>
          </w:p>
        </w:tc>
        <w:tc>
          <w:tcPr>
            <w:tcW w:w="0" w:type="auto"/>
            <w:noWrap/>
            <w:hideMark/>
          </w:tcPr>
          <w:p w:rsidR="00FB1CA3" w:rsidRPr="00FB1CA3" w:rsidRDefault="00724403" w:rsidP="00FB1CA3">
            <w:pPr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     </w:t>
            </w:r>
            <w:r w:rsidR="00FB1CA3" w:rsidRPr="00FB1CA3"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1.633 </w:t>
            </w:r>
          </w:p>
        </w:tc>
        <w:tc>
          <w:tcPr>
            <w:tcW w:w="0" w:type="auto"/>
            <w:noWrap/>
            <w:hideMark/>
          </w:tcPr>
          <w:p w:rsidR="00FB1CA3" w:rsidRPr="00FB1CA3" w:rsidRDefault="00FB1CA3" w:rsidP="00FB1CA3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B1CA3">
              <w:rPr>
                <w:rFonts w:ascii="Calibri" w:eastAsia="Times New Roman" w:hAnsi="Calibri" w:cs="Times New Roman"/>
                <w:color w:val="000000"/>
                <w:lang w:val="gl-ES"/>
              </w:rPr>
              <w:t>0,4</w:t>
            </w:r>
          </w:p>
        </w:tc>
      </w:tr>
      <w:tr w:rsidR="00FB1CA3" w:rsidRPr="00FB1CA3" w:rsidTr="00FB1CA3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FB1CA3" w:rsidRPr="00FB1CA3" w:rsidRDefault="00724403" w:rsidP="00FB1CA3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</w:t>
            </w:r>
            <w:r w:rsidR="00FB1CA3" w:rsidRPr="00FB1CA3">
              <w:rPr>
                <w:rFonts w:ascii="Calibri" w:eastAsia="Times New Roman" w:hAnsi="Calibri" w:cs="Times New Roman"/>
                <w:color w:val="000000"/>
                <w:lang w:val="gl-ES"/>
              </w:rPr>
              <w:t> Indeterminado</w:t>
            </w:r>
          </w:p>
        </w:tc>
        <w:tc>
          <w:tcPr>
            <w:tcW w:w="0" w:type="auto"/>
            <w:noWrap/>
            <w:hideMark/>
          </w:tcPr>
          <w:p w:rsidR="00FB1CA3" w:rsidRPr="00FB1CA3" w:rsidRDefault="00724403" w:rsidP="00FB1CA3">
            <w:pPr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   </w:t>
            </w:r>
            <w:r w:rsidR="00FB1CA3" w:rsidRPr="00FB1CA3"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140.620 </w:t>
            </w:r>
          </w:p>
        </w:tc>
        <w:tc>
          <w:tcPr>
            <w:tcW w:w="0" w:type="auto"/>
            <w:noWrap/>
            <w:hideMark/>
          </w:tcPr>
          <w:p w:rsidR="00FB1CA3" w:rsidRPr="00FB1CA3" w:rsidRDefault="00FB1CA3" w:rsidP="00FB1CA3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B1CA3">
              <w:rPr>
                <w:rFonts w:ascii="Calibri" w:eastAsia="Times New Roman" w:hAnsi="Calibri" w:cs="Times New Roman"/>
                <w:color w:val="000000"/>
                <w:lang w:val="gl-ES"/>
              </w:rPr>
              <w:t>30,5</w:t>
            </w:r>
          </w:p>
        </w:tc>
      </w:tr>
    </w:tbl>
    <w:p w:rsidR="00FB1CA3" w:rsidRPr="006C4606" w:rsidRDefault="00C57EFF" w:rsidP="00A81E1A">
      <w:pPr>
        <w:jc w:val="both"/>
        <w:rPr>
          <w:rFonts w:ascii="Arial" w:hAnsi="Arial" w:cs="Arial"/>
          <w:i/>
          <w:sz w:val="24"/>
          <w:szCs w:val="24"/>
          <w:lang w:val="gl-ES"/>
        </w:rPr>
      </w:pPr>
      <w:r w:rsidRPr="006C4606">
        <w:rPr>
          <w:rFonts w:ascii="Arial" w:hAnsi="Arial" w:cs="Arial"/>
          <w:i/>
          <w:sz w:val="24"/>
          <w:szCs w:val="24"/>
          <w:lang w:val="gl-ES"/>
        </w:rPr>
        <w:t>Fonte: SEPE.</w:t>
      </w:r>
    </w:p>
    <w:p w:rsidR="00C57EFF" w:rsidRDefault="00C57EFF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O 34,9% dos contratos temporais tiveron </w:t>
      </w:r>
      <w:r w:rsidR="00EE51F7">
        <w:rPr>
          <w:rFonts w:ascii="Arial" w:hAnsi="Arial" w:cs="Arial"/>
          <w:sz w:val="24"/>
          <w:szCs w:val="24"/>
          <w:lang w:val="gl-ES"/>
        </w:rPr>
        <w:t>unha duración inferior á semana. S</w:t>
      </w:r>
      <w:r>
        <w:rPr>
          <w:rFonts w:ascii="Arial" w:hAnsi="Arial" w:cs="Arial"/>
          <w:sz w:val="24"/>
          <w:szCs w:val="24"/>
          <w:lang w:val="gl-ES"/>
        </w:rPr>
        <w:t>e ampliamos o prazo ata o mes</w:t>
      </w:r>
      <w:r w:rsidR="001F0546">
        <w:rPr>
          <w:rFonts w:ascii="Arial" w:hAnsi="Arial" w:cs="Arial"/>
          <w:sz w:val="24"/>
          <w:szCs w:val="24"/>
          <w:lang w:val="gl-ES"/>
        </w:rPr>
        <w:t>, alcanza</w:t>
      </w:r>
      <w:r w:rsidR="004E08C4">
        <w:rPr>
          <w:rFonts w:ascii="Arial" w:hAnsi="Arial" w:cs="Arial"/>
          <w:sz w:val="24"/>
          <w:szCs w:val="24"/>
          <w:lang w:val="gl-ES"/>
        </w:rPr>
        <w:t xml:space="preserve"> ao </w:t>
      </w:r>
      <w:r w:rsidR="001F0546">
        <w:rPr>
          <w:rFonts w:ascii="Arial" w:hAnsi="Arial" w:cs="Arial"/>
          <w:sz w:val="24"/>
          <w:szCs w:val="24"/>
          <w:lang w:val="gl-ES"/>
        </w:rPr>
        <w:t xml:space="preserve">47,6% dos contratos, </w:t>
      </w:r>
      <w:r>
        <w:rPr>
          <w:rFonts w:ascii="Arial" w:hAnsi="Arial" w:cs="Arial"/>
          <w:sz w:val="24"/>
          <w:szCs w:val="24"/>
          <w:lang w:val="gl-ES"/>
        </w:rPr>
        <w:t>isto sen ter en conta que o 30,5% non se sabe a priori a duración d</w:t>
      </w:r>
      <w:r w:rsidR="00272A2F">
        <w:rPr>
          <w:rFonts w:ascii="Arial" w:hAnsi="Arial" w:cs="Arial"/>
          <w:sz w:val="24"/>
          <w:szCs w:val="24"/>
          <w:lang w:val="gl-ES"/>
        </w:rPr>
        <w:t>estes</w:t>
      </w:r>
      <w:r>
        <w:rPr>
          <w:rFonts w:ascii="Arial" w:hAnsi="Arial" w:cs="Arial"/>
          <w:sz w:val="24"/>
          <w:szCs w:val="24"/>
          <w:lang w:val="gl-ES"/>
        </w:rPr>
        <w:t xml:space="preserve">, </w:t>
      </w:r>
      <w:r w:rsidR="00272A2F">
        <w:rPr>
          <w:rFonts w:ascii="Arial" w:hAnsi="Arial" w:cs="Arial"/>
          <w:sz w:val="24"/>
          <w:szCs w:val="24"/>
          <w:lang w:val="gl-ES"/>
        </w:rPr>
        <w:t>dado que son</w:t>
      </w:r>
      <w:r>
        <w:rPr>
          <w:rFonts w:ascii="Arial" w:hAnsi="Arial" w:cs="Arial"/>
          <w:sz w:val="24"/>
          <w:szCs w:val="24"/>
          <w:lang w:val="gl-ES"/>
        </w:rPr>
        <w:t xml:space="preserve"> duración indeterminada, senón probab</w:t>
      </w:r>
      <w:r w:rsidR="00272A2F">
        <w:rPr>
          <w:rFonts w:ascii="Arial" w:hAnsi="Arial" w:cs="Arial"/>
          <w:sz w:val="24"/>
          <w:szCs w:val="24"/>
          <w:lang w:val="gl-ES"/>
        </w:rPr>
        <w:t>e</w:t>
      </w:r>
      <w:r>
        <w:rPr>
          <w:rFonts w:ascii="Arial" w:hAnsi="Arial" w:cs="Arial"/>
          <w:sz w:val="24"/>
          <w:szCs w:val="24"/>
          <w:lang w:val="gl-ES"/>
        </w:rPr>
        <w:t>lmente as porcentaxes anteriores serían moi superiores.</w:t>
      </w:r>
    </w:p>
    <w:p w:rsidR="001F0546" w:rsidRPr="001F0546" w:rsidRDefault="001F0546" w:rsidP="001F0546">
      <w:pPr>
        <w:jc w:val="center"/>
        <w:rPr>
          <w:rFonts w:ascii="Arial" w:hAnsi="Arial" w:cs="Arial"/>
          <w:b/>
          <w:sz w:val="24"/>
          <w:szCs w:val="24"/>
          <w:lang w:val="gl-ES"/>
        </w:rPr>
      </w:pPr>
      <w:r w:rsidRPr="001F0546">
        <w:rPr>
          <w:rFonts w:ascii="Arial" w:hAnsi="Arial" w:cs="Arial"/>
          <w:b/>
          <w:sz w:val="24"/>
          <w:szCs w:val="24"/>
          <w:lang w:val="gl-ES"/>
        </w:rPr>
        <w:t>O 35% dos contratos rexistrados a nome de mulleres no ano 2017 duraron menos dunha semana</w:t>
      </w:r>
    </w:p>
    <w:p w:rsidR="00C57EFF" w:rsidRDefault="00C57EFF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Esta elevada rotación do emprego e escasa duración dos contratos explica, en parte, os baixo ingresos dunha parte moi elevada da poboación ocupada feminina, que </w:t>
      </w:r>
      <w:r w:rsidR="00E14AC9">
        <w:rPr>
          <w:rFonts w:ascii="Arial" w:hAnsi="Arial" w:cs="Arial"/>
          <w:sz w:val="24"/>
          <w:szCs w:val="24"/>
          <w:lang w:val="gl-ES"/>
        </w:rPr>
        <w:t>sinala</w:t>
      </w:r>
      <w:r>
        <w:rPr>
          <w:rFonts w:ascii="Arial" w:hAnsi="Arial" w:cs="Arial"/>
          <w:sz w:val="24"/>
          <w:szCs w:val="24"/>
          <w:lang w:val="gl-ES"/>
        </w:rPr>
        <w:t>bamos</w:t>
      </w:r>
      <w:r w:rsidR="004E08C4">
        <w:rPr>
          <w:rFonts w:ascii="Arial" w:hAnsi="Arial" w:cs="Arial"/>
          <w:sz w:val="24"/>
          <w:szCs w:val="24"/>
          <w:lang w:val="gl-ES"/>
        </w:rPr>
        <w:t xml:space="preserve"> ao </w:t>
      </w:r>
      <w:r>
        <w:rPr>
          <w:rFonts w:ascii="Arial" w:hAnsi="Arial" w:cs="Arial"/>
          <w:sz w:val="24"/>
          <w:szCs w:val="24"/>
          <w:lang w:val="gl-ES"/>
        </w:rPr>
        <w:t>inicio deste informe.</w:t>
      </w:r>
    </w:p>
    <w:p w:rsidR="00C57EFF" w:rsidRDefault="008E4A1A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Falta, nesta análise</w:t>
      </w:r>
      <w:r w:rsidR="00E14AC9">
        <w:rPr>
          <w:rFonts w:ascii="Arial" w:hAnsi="Arial" w:cs="Arial"/>
          <w:sz w:val="24"/>
          <w:szCs w:val="24"/>
          <w:lang w:val="gl-ES"/>
        </w:rPr>
        <w:t>,</w:t>
      </w:r>
      <w:r>
        <w:rPr>
          <w:rFonts w:ascii="Arial" w:hAnsi="Arial" w:cs="Arial"/>
          <w:sz w:val="24"/>
          <w:szCs w:val="24"/>
          <w:lang w:val="gl-ES"/>
        </w:rPr>
        <w:t xml:space="preserve"> a poboación que non ten emprego.</w:t>
      </w:r>
    </w:p>
    <w:p w:rsidR="00D12966" w:rsidRDefault="00D12966" w:rsidP="00A81E1A">
      <w:pPr>
        <w:jc w:val="both"/>
        <w:rPr>
          <w:rFonts w:ascii="Arial" w:hAnsi="Arial" w:cs="Arial"/>
          <w:sz w:val="24"/>
          <w:szCs w:val="24"/>
          <w:lang w:val="gl-ES"/>
        </w:rPr>
      </w:pPr>
    </w:p>
    <w:p w:rsidR="00D12966" w:rsidRDefault="00D12966" w:rsidP="00A81E1A">
      <w:pPr>
        <w:jc w:val="both"/>
        <w:rPr>
          <w:rFonts w:ascii="Arial" w:hAnsi="Arial" w:cs="Arial"/>
          <w:sz w:val="24"/>
          <w:szCs w:val="24"/>
          <w:lang w:val="gl-ES"/>
        </w:rPr>
      </w:pPr>
    </w:p>
    <w:p w:rsidR="00D12966" w:rsidRDefault="00D12966" w:rsidP="00A81E1A">
      <w:pPr>
        <w:jc w:val="both"/>
        <w:rPr>
          <w:rFonts w:ascii="Arial" w:hAnsi="Arial" w:cs="Arial"/>
          <w:sz w:val="24"/>
          <w:szCs w:val="24"/>
          <w:lang w:val="gl-ES"/>
        </w:rPr>
      </w:pPr>
    </w:p>
    <w:p w:rsidR="00D12966" w:rsidRDefault="00D12966" w:rsidP="00A81E1A">
      <w:pPr>
        <w:jc w:val="both"/>
        <w:rPr>
          <w:rFonts w:ascii="Arial" w:hAnsi="Arial" w:cs="Arial"/>
          <w:sz w:val="24"/>
          <w:szCs w:val="24"/>
          <w:lang w:val="gl-ES"/>
        </w:rPr>
      </w:pPr>
    </w:p>
    <w:p w:rsidR="00D12966" w:rsidRDefault="00D12966" w:rsidP="00A81E1A">
      <w:pPr>
        <w:jc w:val="both"/>
        <w:rPr>
          <w:rFonts w:ascii="Arial" w:hAnsi="Arial" w:cs="Arial"/>
          <w:sz w:val="24"/>
          <w:szCs w:val="24"/>
          <w:lang w:val="gl-ES"/>
        </w:rPr>
      </w:pPr>
    </w:p>
    <w:p w:rsidR="00D12966" w:rsidRDefault="00D12966" w:rsidP="00A81E1A">
      <w:pPr>
        <w:jc w:val="both"/>
        <w:rPr>
          <w:rFonts w:ascii="Arial" w:hAnsi="Arial" w:cs="Arial"/>
          <w:sz w:val="24"/>
          <w:szCs w:val="24"/>
          <w:lang w:val="gl-ES"/>
        </w:rPr>
      </w:pPr>
    </w:p>
    <w:p w:rsidR="00D12966" w:rsidRPr="00D12966" w:rsidRDefault="00D12966" w:rsidP="00A81E1A">
      <w:pPr>
        <w:jc w:val="both"/>
        <w:rPr>
          <w:rFonts w:ascii="Arial" w:hAnsi="Arial" w:cs="Arial"/>
          <w:b/>
          <w:sz w:val="32"/>
          <w:szCs w:val="32"/>
          <w:lang w:val="gl-ES"/>
        </w:rPr>
      </w:pPr>
      <w:r w:rsidRPr="00D12966">
        <w:rPr>
          <w:rFonts w:ascii="Arial" w:hAnsi="Arial" w:cs="Arial"/>
          <w:b/>
          <w:sz w:val="32"/>
          <w:szCs w:val="32"/>
          <w:lang w:val="gl-ES"/>
        </w:rPr>
        <w:t>Poboación parada</w:t>
      </w:r>
    </w:p>
    <w:p w:rsidR="008E4A1A" w:rsidRDefault="008E4A1A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Poboación parada. Datos en miles.</w:t>
      </w:r>
    </w:p>
    <w:tbl>
      <w:tblPr>
        <w:tblStyle w:val="Sombreadoclaro-nfasis4"/>
        <w:tblW w:w="0" w:type="auto"/>
        <w:tblLook w:val="04A0"/>
      </w:tblPr>
      <w:tblGrid>
        <w:gridCol w:w="1022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  <w:gridCol w:w="717"/>
      </w:tblGrid>
      <w:tr w:rsidR="008E4A1A" w:rsidRPr="008E4A1A" w:rsidTr="008E4A1A">
        <w:trPr>
          <w:cnfStyle w:val="100000000000"/>
          <w:trHeight w:val="300"/>
        </w:trPr>
        <w:tc>
          <w:tcPr>
            <w:cnfStyle w:val="001000000000"/>
            <w:tcW w:w="0" w:type="auto"/>
            <w:hideMark/>
          </w:tcPr>
          <w:p w:rsidR="008E4A1A" w:rsidRPr="008E4A1A" w:rsidRDefault="008E4A1A" w:rsidP="008E4A1A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0" w:type="auto"/>
            <w:hideMark/>
          </w:tcPr>
          <w:p w:rsidR="008E4A1A" w:rsidRPr="008E4A1A" w:rsidRDefault="008E4A1A" w:rsidP="008E4A1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2008</w:t>
            </w:r>
          </w:p>
        </w:tc>
        <w:tc>
          <w:tcPr>
            <w:tcW w:w="0" w:type="auto"/>
            <w:hideMark/>
          </w:tcPr>
          <w:p w:rsidR="008E4A1A" w:rsidRPr="008E4A1A" w:rsidRDefault="008E4A1A" w:rsidP="008E4A1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2009</w:t>
            </w:r>
          </w:p>
        </w:tc>
        <w:tc>
          <w:tcPr>
            <w:tcW w:w="0" w:type="auto"/>
            <w:hideMark/>
          </w:tcPr>
          <w:p w:rsidR="008E4A1A" w:rsidRPr="008E4A1A" w:rsidRDefault="008E4A1A" w:rsidP="008E4A1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2010</w:t>
            </w:r>
          </w:p>
        </w:tc>
        <w:tc>
          <w:tcPr>
            <w:tcW w:w="0" w:type="auto"/>
            <w:hideMark/>
          </w:tcPr>
          <w:p w:rsidR="008E4A1A" w:rsidRPr="008E4A1A" w:rsidRDefault="008E4A1A" w:rsidP="008E4A1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2011</w:t>
            </w:r>
          </w:p>
        </w:tc>
        <w:tc>
          <w:tcPr>
            <w:tcW w:w="0" w:type="auto"/>
            <w:hideMark/>
          </w:tcPr>
          <w:p w:rsidR="008E4A1A" w:rsidRPr="008E4A1A" w:rsidRDefault="008E4A1A" w:rsidP="008E4A1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2012</w:t>
            </w:r>
          </w:p>
        </w:tc>
        <w:tc>
          <w:tcPr>
            <w:tcW w:w="0" w:type="auto"/>
            <w:hideMark/>
          </w:tcPr>
          <w:p w:rsidR="008E4A1A" w:rsidRPr="008E4A1A" w:rsidRDefault="008E4A1A" w:rsidP="008E4A1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0" w:type="auto"/>
            <w:hideMark/>
          </w:tcPr>
          <w:p w:rsidR="008E4A1A" w:rsidRPr="008E4A1A" w:rsidRDefault="008E4A1A" w:rsidP="008E4A1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0" w:type="auto"/>
            <w:hideMark/>
          </w:tcPr>
          <w:p w:rsidR="008E4A1A" w:rsidRPr="008E4A1A" w:rsidRDefault="008E4A1A" w:rsidP="008E4A1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0" w:type="auto"/>
            <w:hideMark/>
          </w:tcPr>
          <w:p w:rsidR="008E4A1A" w:rsidRPr="008E4A1A" w:rsidRDefault="008E4A1A" w:rsidP="008E4A1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0" w:type="auto"/>
            <w:hideMark/>
          </w:tcPr>
          <w:p w:rsidR="008E4A1A" w:rsidRPr="008E4A1A" w:rsidRDefault="008E4A1A" w:rsidP="008E4A1A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2017</w:t>
            </w:r>
          </w:p>
        </w:tc>
      </w:tr>
      <w:tr w:rsidR="008E4A1A" w:rsidRPr="008E4A1A" w:rsidTr="008E4A1A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8E4A1A" w:rsidRPr="008E4A1A" w:rsidRDefault="008E4A1A" w:rsidP="008E4A1A">
            <w:pPr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Homes</w:t>
            </w:r>
          </w:p>
        </w:tc>
        <w:tc>
          <w:tcPr>
            <w:tcW w:w="0" w:type="auto"/>
            <w:hideMark/>
          </w:tcPr>
          <w:p w:rsidR="008E4A1A" w:rsidRPr="008E4A1A" w:rsidRDefault="008E4A1A" w:rsidP="008E4A1A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53,4</w:t>
            </w:r>
          </w:p>
        </w:tc>
        <w:tc>
          <w:tcPr>
            <w:tcW w:w="0" w:type="auto"/>
            <w:hideMark/>
          </w:tcPr>
          <w:p w:rsidR="008E4A1A" w:rsidRPr="008E4A1A" w:rsidRDefault="008E4A1A" w:rsidP="008E4A1A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83,2</w:t>
            </w:r>
          </w:p>
        </w:tc>
        <w:tc>
          <w:tcPr>
            <w:tcW w:w="0" w:type="auto"/>
            <w:hideMark/>
          </w:tcPr>
          <w:p w:rsidR="008E4A1A" w:rsidRPr="008E4A1A" w:rsidRDefault="008E4A1A" w:rsidP="008E4A1A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0" w:type="auto"/>
            <w:hideMark/>
          </w:tcPr>
          <w:p w:rsidR="008E4A1A" w:rsidRPr="008E4A1A" w:rsidRDefault="008E4A1A" w:rsidP="008E4A1A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116,4</w:t>
            </w:r>
          </w:p>
        </w:tc>
        <w:tc>
          <w:tcPr>
            <w:tcW w:w="0" w:type="auto"/>
            <w:hideMark/>
          </w:tcPr>
          <w:p w:rsidR="008E4A1A" w:rsidRPr="008E4A1A" w:rsidRDefault="008E4A1A" w:rsidP="008E4A1A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145,6</w:t>
            </w:r>
          </w:p>
        </w:tc>
        <w:tc>
          <w:tcPr>
            <w:tcW w:w="0" w:type="auto"/>
            <w:hideMark/>
          </w:tcPr>
          <w:p w:rsidR="008E4A1A" w:rsidRPr="008E4A1A" w:rsidRDefault="008E4A1A" w:rsidP="008E4A1A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152,5</w:t>
            </w:r>
          </w:p>
        </w:tc>
        <w:tc>
          <w:tcPr>
            <w:tcW w:w="0" w:type="auto"/>
            <w:hideMark/>
          </w:tcPr>
          <w:p w:rsidR="008E4A1A" w:rsidRPr="008E4A1A" w:rsidRDefault="008E4A1A" w:rsidP="008E4A1A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144,6</w:t>
            </w:r>
          </w:p>
        </w:tc>
        <w:tc>
          <w:tcPr>
            <w:tcW w:w="0" w:type="auto"/>
            <w:hideMark/>
          </w:tcPr>
          <w:p w:rsidR="008E4A1A" w:rsidRPr="008E4A1A" w:rsidRDefault="008E4A1A" w:rsidP="008E4A1A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123,4</w:t>
            </w:r>
          </w:p>
        </w:tc>
        <w:tc>
          <w:tcPr>
            <w:tcW w:w="0" w:type="auto"/>
            <w:hideMark/>
          </w:tcPr>
          <w:p w:rsidR="008E4A1A" w:rsidRPr="008E4A1A" w:rsidRDefault="008E4A1A" w:rsidP="008E4A1A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108,8</w:t>
            </w:r>
          </w:p>
        </w:tc>
        <w:tc>
          <w:tcPr>
            <w:tcW w:w="0" w:type="auto"/>
            <w:hideMark/>
          </w:tcPr>
          <w:p w:rsidR="008E4A1A" w:rsidRPr="008E4A1A" w:rsidRDefault="008E4A1A" w:rsidP="008E4A1A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97,3</w:t>
            </w:r>
          </w:p>
        </w:tc>
      </w:tr>
      <w:tr w:rsidR="008E4A1A" w:rsidRPr="008E4A1A" w:rsidTr="008E4A1A">
        <w:trPr>
          <w:trHeight w:val="300"/>
        </w:trPr>
        <w:tc>
          <w:tcPr>
            <w:cnfStyle w:val="001000000000"/>
            <w:tcW w:w="0" w:type="auto"/>
            <w:hideMark/>
          </w:tcPr>
          <w:p w:rsidR="008E4A1A" w:rsidRPr="008E4A1A" w:rsidRDefault="008E4A1A" w:rsidP="008E4A1A">
            <w:pPr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Mulleres</w:t>
            </w:r>
          </w:p>
        </w:tc>
        <w:tc>
          <w:tcPr>
            <w:tcW w:w="0" w:type="auto"/>
            <w:hideMark/>
          </w:tcPr>
          <w:p w:rsidR="008E4A1A" w:rsidRPr="008E4A1A" w:rsidRDefault="008E4A1A" w:rsidP="008E4A1A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60,2</w:t>
            </w:r>
          </w:p>
        </w:tc>
        <w:tc>
          <w:tcPr>
            <w:tcW w:w="0" w:type="auto"/>
            <w:hideMark/>
          </w:tcPr>
          <w:p w:rsidR="008E4A1A" w:rsidRPr="008E4A1A" w:rsidRDefault="008E4A1A" w:rsidP="008E4A1A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80,9</w:t>
            </w:r>
          </w:p>
        </w:tc>
        <w:tc>
          <w:tcPr>
            <w:tcW w:w="0" w:type="auto"/>
            <w:hideMark/>
          </w:tcPr>
          <w:p w:rsidR="008E4A1A" w:rsidRPr="008E4A1A" w:rsidRDefault="008E4A1A" w:rsidP="008E4A1A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96,9</w:t>
            </w:r>
          </w:p>
        </w:tc>
        <w:tc>
          <w:tcPr>
            <w:tcW w:w="0" w:type="auto"/>
            <w:hideMark/>
          </w:tcPr>
          <w:p w:rsidR="008E4A1A" w:rsidRPr="008E4A1A" w:rsidRDefault="008E4A1A" w:rsidP="008E4A1A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110,8</w:t>
            </w:r>
          </w:p>
        </w:tc>
        <w:tc>
          <w:tcPr>
            <w:tcW w:w="0" w:type="auto"/>
            <w:hideMark/>
          </w:tcPr>
          <w:p w:rsidR="008E4A1A" w:rsidRPr="008E4A1A" w:rsidRDefault="008E4A1A" w:rsidP="008E4A1A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124,9</w:t>
            </w:r>
          </w:p>
        </w:tc>
        <w:tc>
          <w:tcPr>
            <w:tcW w:w="0" w:type="auto"/>
            <w:hideMark/>
          </w:tcPr>
          <w:p w:rsidR="008E4A1A" w:rsidRPr="008E4A1A" w:rsidRDefault="008E4A1A" w:rsidP="008E4A1A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132,1</w:t>
            </w:r>
          </w:p>
        </w:tc>
        <w:tc>
          <w:tcPr>
            <w:tcW w:w="0" w:type="auto"/>
            <w:hideMark/>
          </w:tcPr>
          <w:p w:rsidR="008E4A1A" w:rsidRPr="008E4A1A" w:rsidRDefault="008E4A1A" w:rsidP="008E4A1A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131,2</w:t>
            </w:r>
          </w:p>
        </w:tc>
        <w:tc>
          <w:tcPr>
            <w:tcW w:w="0" w:type="auto"/>
            <w:hideMark/>
          </w:tcPr>
          <w:p w:rsidR="008E4A1A" w:rsidRPr="008E4A1A" w:rsidRDefault="008E4A1A" w:rsidP="008E4A1A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120</w:t>
            </w:r>
          </w:p>
        </w:tc>
        <w:tc>
          <w:tcPr>
            <w:tcW w:w="0" w:type="auto"/>
            <w:hideMark/>
          </w:tcPr>
          <w:p w:rsidR="008E4A1A" w:rsidRPr="008E4A1A" w:rsidRDefault="008E4A1A" w:rsidP="008E4A1A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106,6</w:t>
            </w:r>
          </w:p>
        </w:tc>
        <w:tc>
          <w:tcPr>
            <w:tcW w:w="0" w:type="auto"/>
            <w:hideMark/>
          </w:tcPr>
          <w:p w:rsidR="008E4A1A" w:rsidRPr="008E4A1A" w:rsidRDefault="008E4A1A" w:rsidP="008E4A1A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98,3</w:t>
            </w:r>
          </w:p>
        </w:tc>
      </w:tr>
      <w:tr w:rsidR="008E4A1A" w:rsidRPr="008E4A1A" w:rsidTr="008E4A1A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8E4A1A" w:rsidRPr="008E4A1A" w:rsidRDefault="008E4A1A" w:rsidP="008E4A1A">
            <w:pPr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0" w:type="auto"/>
            <w:hideMark/>
          </w:tcPr>
          <w:p w:rsidR="008E4A1A" w:rsidRPr="008E4A1A" w:rsidRDefault="008E4A1A" w:rsidP="008E4A1A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113,6</w:t>
            </w:r>
          </w:p>
        </w:tc>
        <w:tc>
          <w:tcPr>
            <w:tcW w:w="0" w:type="auto"/>
            <w:hideMark/>
          </w:tcPr>
          <w:p w:rsidR="008E4A1A" w:rsidRPr="008E4A1A" w:rsidRDefault="008E4A1A" w:rsidP="008E4A1A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164,1</w:t>
            </w:r>
          </w:p>
        </w:tc>
        <w:tc>
          <w:tcPr>
            <w:tcW w:w="0" w:type="auto"/>
            <w:hideMark/>
          </w:tcPr>
          <w:p w:rsidR="008E4A1A" w:rsidRPr="008E4A1A" w:rsidRDefault="008E4A1A" w:rsidP="008E4A1A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199,9</w:t>
            </w:r>
          </w:p>
        </w:tc>
        <w:tc>
          <w:tcPr>
            <w:tcW w:w="0" w:type="auto"/>
            <w:hideMark/>
          </w:tcPr>
          <w:p w:rsidR="008E4A1A" w:rsidRPr="008E4A1A" w:rsidRDefault="008E4A1A" w:rsidP="008E4A1A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227,2</w:t>
            </w:r>
          </w:p>
        </w:tc>
        <w:tc>
          <w:tcPr>
            <w:tcW w:w="0" w:type="auto"/>
            <w:hideMark/>
          </w:tcPr>
          <w:p w:rsidR="008E4A1A" w:rsidRPr="008E4A1A" w:rsidRDefault="008E4A1A" w:rsidP="008E4A1A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270,5</w:t>
            </w:r>
          </w:p>
        </w:tc>
        <w:tc>
          <w:tcPr>
            <w:tcW w:w="0" w:type="auto"/>
            <w:hideMark/>
          </w:tcPr>
          <w:p w:rsidR="008E4A1A" w:rsidRPr="008E4A1A" w:rsidRDefault="008E4A1A" w:rsidP="008E4A1A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284,6</w:t>
            </w:r>
          </w:p>
        </w:tc>
        <w:tc>
          <w:tcPr>
            <w:tcW w:w="0" w:type="auto"/>
            <w:hideMark/>
          </w:tcPr>
          <w:p w:rsidR="008E4A1A" w:rsidRPr="008E4A1A" w:rsidRDefault="008E4A1A" w:rsidP="008E4A1A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275,8</w:t>
            </w:r>
          </w:p>
        </w:tc>
        <w:tc>
          <w:tcPr>
            <w:tcW w:w="0" w:type="auto"/>
            <w:hideMark/>
          </w:tcPr>
          <w:p w:rsidR="008E4A1A" w:rsidRPr="008E4A1A" w:rsidRDefault="008E4A1A" w:rsidP="008E4A1A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243,4</w:t>
            </w:r>
          </w:p>
        </w:tc>
        <w:tc>
          <w:tcPr>
            <w:tcW w:w="0" w:type="auto"/>
            <w:hideMark/>
          </w:tcPr>
          <w:p w:rsidR="008E4A1A" w:rsidRPr="008E4A1A" w:rsidRDefault="008E4A1A" w:rsidP="008E4A1A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215,4</w:t>
            </w:r>
          </w:p>
        </w:tc>
        <w:tc>
          <w:tcPr>
            <w:tcW w:w="0" w:type="auto"/>
            <w:hideMark/>
          </w:tcPr>
          <w:p w:rsidR="008E4A1A" w:rsidRPr="008E4A1A" w:rsidRDefault="008E4A1A" w:rsidP="008E4A1A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</w:rPr>
            </w:pPr>
            <w:r w:rsidRPr="008E4A1A">
              <w:rPr>
                <w:rFonts w:ascii="Calibri" w:eastAsia="Times New Roman" w:hAnsi="Calibri" w:cs="Times New Roman"/>
                <w:color w:val="000000"/>
              </w:rPr>
              <w:t>195,6</w:t>
            </w:r>
          </w:p>
        </w:tc>
      </w:tr>
    </w:tbl>
    <w:p w:rsidR="008E4A1A" w:rsidRDefault="008E4A1A" w:rsidP="008E4A1A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Fonte: EPA. INE</w:t>
      </w:r>
    </w:p>
    <w:p w:rsidR="008E641C" w:rsidRDefault="008E4A1A" w:rsidP="00A81E1A">
      <w:pPr>
        <w:jc w:val="both"/>
        <w:rPr>
          <w:rFonts w:ascii="Arial" w:hAnsi="Arial" w:cs="Arial"/>
          <w:sz w:val="24"/>
          <w:szCs w:val="24"/>
          <w:lang w:val="gl-ES"/>
        </w:rPr>
      </w:pPr>
      <w:r w:rsidRPr="008E4A1A"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5172075" cy="2743200"/>
            <wp:effectExtent l="19050" t="0" r="9525" b="0"/>
            <wp:docPr id="7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B3FE8" w:rsidRDefault="00A43D34" w:rsidP="00A43D34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No último ano reduciuse a poboación </w:t>
      </w:r>
      <w:r w:rsidR="00084389">
        <w:rPr>
          <w:rFonts w:ascii="Arial" w:hAnsi="Arial" w:cs="Arial"/>
          <w:sz w:val="24"/>
          <w:szCs w:val="24"/>
          <w:lang w:val="gl-ES"/>
        </w:rPr>
        <w:t xml:space="preserve">parada </w:t>
      </w:r>
      <w:r>
        <w:rPr>
          <w:rFonts w:ascii="Arial" w:hAnsi="Arial" w:cs="Arial"/>
          <w:sz w:val="24"/>
          <w:szCs w:val="24"/>
          <w:lang w:val="gl-ES"/>
        </w:rPr>
        <w:t>en 19.800 persoas, das cales 8.300</w:t>
      </w:r>
      <w:r w:rsidR="00084389">
        <w:rPr>
          <w:rFonts w:ascii="Arial" w:hAnsi="Arial" w:cs="Arial"/>
          <w:sz w:val="24"/>
          <w:szCs w:val="24"/>
          <w:lang w:val="gl-ES"/>
        </w:rPr>
        <w:t xml:space="preserve"> foron mulleres e 11.500 homes. Con respecto</w:t>
      </w:r>
      <w:r w:rsidR="004E08C4">
        <w:rPr>
          <w:rFonts w:ascii="Arial" w:hAnsi="Arial" w:cs="Arial"/>
          <w:sz w:val="24"/>
          <w:szCs w:val="24"/>
          <w:lang w:val="gl-ES"/>
        </w:rPr>
        <w:t xml:space="preserve"> ao </w:t>
      </w:r>
      <w:r w:rsidR="00084389">
        <w:rPr>
          <w:rFonts w:ascii="Arial" w:hAnsi="Arial" w:cs="Arial"/>
          <w:sz w:val="24"/>
          <w:szCs w:val="24"/>
          <w:lang w:val="gl-ES"/>
        </w:rPr>
        <w:t xml:space="preserve">ano 2008 aínda se estiman 82.000 persoas paradas máis, das cales </w:t>
      </w:r>
      <w:r w:rsidR="00E14AC9">
        <w:rPr>
          <w:rFonts w:ascii="Arial" w:hAnsi="Arial" w:cs="Arial"/>
          <w:sz w:val="24"/>
          <w:szCs w:val="24"/>
          <w:lang w:val="gl-ES"/>
        </w:rPr>
        <w:t>31.100 son mulleres.</w:t>
      </w:r>
    </w:p>
    <w:p w:rsidR="00084389" w:rsidRDefault="00E14AC9" w:rsidP="00A43D34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Ao</w:t>
      </w:r>
      <w:r w:rsidR="00084389">
        <w:rPr>
          <w:rFonts w:ascii="Arial" w:hAnsi="Arial" w:cs="Arial"/>
          <w:sz w:val="24"/>
          <w:szCs w:val="24"/>
          <w:lang w:val="gl-ES"/>
        </w:rPr>
        <w:t xml:space="preserve"> longo do período, tal e como se ve no gráfico, o paro masculino medrou en maior medida que o feminino, superando a este amplam</w:t>
      </w:r>
      <w:r>
        <w:rPr>
          <w:rFonts w:ascii="Arial" w:hAnsi="Arial" w:cs="Arial"/>
          <w:sz w:val="24"/>
          <w:szCs w:val="24"/>
          <w:lang w:val="gl-ES"/>
        </w:rPr>
        <w:t>ente nos anos centrais da crise. D</w:t>
      </w:r>
      <w:r w:rsidR="00084389">
        <w:rPr>
          <w:rFonts w:ascii="Arial" w:hAnsi="Arial" w:cs="Arial"/>
          <w:sz w:val="24"/>
          <w:szCs w:val="24"/>
          <w:lang w:val="gl-ES"/>
        </w:rPr>
        <w:t>ende que se volveu a crear emprego, o paro descendeu moito m</w:t>
      </w:r>
      <w:r>
        <w:rPr>
          <w:rFonts w:ascii="Arial" w:hAnsi="Arial" w:cs="Arial"/>
          <w:sz w:val="24"/>
          <w:szCs w:val="24"/>
          <w:lang w:val="gl-ES"/>
        </w:rPr>
        <w:t>á</w:t>
      </w:r>
      <w:r w:rsidR="00084389">
        <w:rPr>
          <w:rFonts w:ascii="Arial" w:hAnsi="Arial" w:cs="Arial"/>
          <w:sz w:val="24"/>
          <w:szCs w:val="24"/>
          <w:lang w:val="gl-ES"/>
        </w:rPr>
        <w:t>is entre os homes, ata este último ano onde o número de mulleres en paro volve superar</w:t>
      </w:r>
      <w:r>
        <w:rPr>
          <w:rFonts w:ascii="Arial" w:hAnsi="Arial" w:cs="Arial"/>
          <w:sz w:val="24"/>
          <w:szCs w:val="24"/>
          <w:lang w:val="gl-ES"/>
        </w:rPr>
        <w:t xml:space="preserve"> </w:t>
      </w:r>
      <w:r w:rsidR="004E08C4">
        <w:rPr>
          <w:rFonts w:ascii="Arial" w:hAnsi="Arial" w:cs="Arial"/>
          <w:sz w:val="24"/>
          <w:szCs w:val="24"/>
          <w:lang w:val="gl-ES"/>
        </w:rPr>
        <w:t xml:space="preserve">o </w:t>
      </w:r>
      <w:r w:rsidR="00084389">
        <w:rPr>
          <w:rFonts w:ascii="Arial" w:hAnsi="Arial" w:cs="Arial"/>
          <w:sz w:val="24"/>
          <w:szCs w:val="24"/>
          <w:lang w:val="gl-ES"/>
        </w:rPr>
        <w:t>de homes.</w:t>
      </w:r>
    </w:p>
    <w:p w:rsidR="009550D3" w:rsidRDefault="000C17A0" w:rsidP="00A43D34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Aínda que o paro descendeu nestes dou</w:t>
      </w:r>
      <w:r w:rsidR="00EA38C8">
        <w:rPr>
          <w:rFonts w:ascii="Arial" w:hAnsi="Arial" w:cs="Arial"/>
          <w:sz w:val="24"/>
          <w:szCs w:val="24"/>
          <w:lang w:val="gl-ES"/>
        </w:rPr>
        <w:t>s</w:t>
      </w:r>
      <w:r>
        <w:rPr>
          <w:rFonts w:ascii="Arial" w:hAnsi="Arial" w:cs="Arial"/>
          <w:sz w:val="24"/>
          <w:szCs w:val="24"/>
          <w:lang w:val="gl-ES"/>
        </w:rPr>
        <w:t xml:space="preserve"> últ</w:t>
      </w:r>
      <w:r w:rsidR="00E14AC9">
        <w:rPr>
          <w:rFonts w:ascii="Arial" w:hAnsi="Arial" w:cs="Arial"/>
          <w:sz w:val="24"/>
          <w:szCs w:val="24"/>
          <w:lang w:val="gl-ES"/>
        </w:rPr>
        <w:t xml:space="preserve">imos anos, mantense moi elevado. Así, </w:t>
      </w:r>
      <w:r w:rsidR="00EA38C8">
        <w:rPr>
          <w:rFonts w:ascii="Arial" w:hAnsi="Arial" w:cs="Arial"/>
          <w:sz w:val="24"/>
          <w:szCs w:val="24"/>
          <w:lang w:val="gl-ES"/>
        </w:rPr>
        <w:t xml:space="preserve">son 98.300 as mulleres </w:t>
      </w:r>
      <w:r w:rsidR="00F96A0B">
        <w:rPr>
          <w:rFonts w:ascii="Arial" w:hAnsi="Arial" w:cs="Arial"/>
          <w:sz w:val="24"/>
          <w:szCs w:val="24"/>
          <w:lang w:val="gl-ES"/>
        </w:rPr>
        <w:t xml:space="preserve">que permanecen </w:t>
      </w:r>
      <w:r w:rsidR="00EA38C8">
        <w:rPr>
          <w:rFonts w:ascii="Arial" w:hAnsi="Arial" w:cs="Arial"/>
          <w:sz w:val="24"/>
          <w:szCs w:val="24"/>
          <w:lang w:val="gl-ES"/>
        </w:rPr>
        <w:t>paradas no ano 2017</w:t>
      </w:r>
      <w:r w:rsidR="00E14AC9">
        <w:rPr>
          <w:rFonts w:ascii="Arial" w:hAnsi="Arial" w:cs="Arial"/>
          <w:sz w:val="24"/>
          <w:szCs w:val="24"/>
          <w:lang w:val="gl-ES"/>
        </w:rPr>
        <w:t>,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 w:rsidR="007F3193">
        <w:rPr>
          <w:rFonts w:ascii="Arial" w:hAnsi="Arial" w:cs="Arial"/>
          <w:sz w:val="24"/>
          <w:szCs w:val="24"/>
          <w:lang w:val="gl-ES"/>
        </w:rPr>
        <w:t>e o 40% d</w:t>
      </w:r>
      <w:r w:rsidR="00E14AC9">
        <w:rPr>
          <w:rFonts w:ascii="Arial" w:hAnsi="Arial" w:cs="Arial"/>
          <w:sz w:val="24"/>
          <w:szCs w:val="24"/>
          <w:lang w:val="gl-ES"/>
        </w:rPr>
        <w:t xml:space="preserve">estas </w:t>
      </w:r>
      <w:r w:rsidR="007F3193">
        <w:rPr>
          <w:rFonts w:ascii="Arial" w:hAnsi="Arial" w:cs="Arial"/>
          <w:sz w:val="24"/>
          <w:szCs w:val="24"/>
          <w:lang w:val="gl-ES"/>
        </w:rPr>
        <w:t>leva máis de 2 anos nesa situación.</w:t>
      </w:r>
      <w:r>
        <w:rPr>
          <w:rFonts w:ascii="Arial" w:hAnsi="Arial" w:cs="Arial"/>
          <w:sz w:val="24"/>
          <w:szCs w:val="24"/>
          <w:lang w:val="gl-ES"/>
        </w:rPr>
        <w:t xml:space="preserve"> </w:t>
      </w:r>
    </w:p>
    <w:p w:rsidR="00D57698" w:rsidRDefault="00D57698" w:rsidP="00A43D34">
      <w:pPr>
        <w:jc w:val="both"/>
        <w:rPr>
          <w:rFonts w:ascii="Arial" w:hAnsi="Arial" w:cs="Arial"/>
          <w:sz w:val="24"/>
          <w:szCs w:val="24"/>
          <w:lang w:val="gl-ES"/>
        </w:rPr>
      </w:pPr>
    </w:p>
    <w:p w:rsidR="00D57698" w:rsidRDefault="00D57698" w:rsidP="00A43D34">
      <w:pPr>
        <w:jc w:val="both"/>
        <w:rPr>
          <w:rFonts w:ascii="Arial" w:hAnsi="Arial" w:cs="Arial"/>
          <w:sz w:val="24"/>
          <w:szCs w:val="24"/>
          <w:lang w:val="gl-ES"/>
        </w:rPr>
      </w:pPr>
    </w:p>
    <w:p w:rsidR="00D57698" w:rsidRDefault="00D57698" w:rsidP="00A43D34">
      <w:pPr>
        <w:jc w:val="both"/>
        <w:rPr>
          <w:rFonts w:ascii="Arial" w:hAnsi="Arial" w:cs="Arial"/>
          <w:sz w:val="24"/>
          <w:szCs w:val="24"/>
          <w:lang w:val="gl-ES"/>
        </w:rPr>
      </w:pPr>
    </w:p>
    <w:p w:rsidR="00D57698" w:rsidRPr="00D57698" w:rsidRDefault="00D57698" w:rsidP="00A43D34">
      <w:pPr>
        <w:jc w:val="both"/>
        <w:rPr>
          <w:rFonts w:ascii="Arial" w:hAnsi="Arial" w:cs="Arial"/>
          <w:b/>
          <w:sz w:val="24"/>
          <w:szCs w:val="24"/>
          <w:lang w:val="gl-ES"/>
        </w:rPr>
      </w:pPr>
      <w:r w:rsidRPr="00D57698">
        <w:rPr>
          <w:rFonts w:ascii="Arial" w:hAnsi="Arial" w:cs="Arial"/>
          <w:b/>
          <w:sz w:val="24"/>
          <w:szCs w:val="24"/>
          <w:lang w:val="gl-ES"/>
        </w:rPr>
        <w:t>O 40% das mulleres paradas levan máis de 2 anos a procura de emprego</w:t>
      </w:r>
    </w:p>
    <w:p w:rsidR="00D57698" w:rsidRDefault="00D57698" w:rsidP="00A43D34">
      <w:pPr>
        <w:jc w:val="both"/>
        <w:rPr>
          <w:rFonts w:ascii="Arial" w:hAnsi="Arial" w:cs="Arial"/>
          <w:sz w:val="24"/>
          <w:szCs w:val="24"/>
          <w:lang w:val="gl-ES"/>
        </w:rPr>
      </w:pPr>
    </w:p>
    <w:p w:rsidR="00084389" w:rsidRDefault="00084389" w:rsidP="00A43D34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Paradas segundo tempo a procura de emprego.</w:t>
      </w:r>
    </w:p>
    <w:tbl>
      <w:tblPr>
        <w:tblStyle w:val="Sombreadoclaro-nfasis4"/>
        <w:tblW w:w="7080" w:type="dxa"/>
        <w:tblLook w:val="04A0"/>
      </w:tblPr>
      <w:tblGrid>
        <w:gridCol w:w="3460"/>
        <w:gridCol w:w="1220"/>
        <w:gridCol w:w="1200"/>
        <w:gridCol w:w="1200"/>
      </w:tblGrid>
      <w:tr w:rsidR="00084389" w:rsidRPr="00084389" w:rsidTr="00084389">
        <w:trPr>
          <w:cnfStyle w:val="100000000000"/>
          <w:trHeight w:val="300"/>
        </w:trPr>
        <w:tc>
          <w:tcPr>
            <w:cnfStyle w:val="001000000000"/>
            <w:tcW w:w="3460" w:type="dxa"/>
            <w:hideMark/>
          </w:tcPr>
          <w:p w:rsidR="00084389" w:rsidRPr="00084389" w:rsidRDefault="00084389" w:rsidP="00084389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</w:p>
        </w:tc>
        <w:tc>
          <w:tcPr>
            <w:tcW w:w="3620" w:type="dxa"/>
            <w:gridSpan w:val="3"/>
            <w:hideMark/>
          </w:tcPr>
          <w:p w:rsidR="00084389" w:rsidRPr="00084389" w:rsidRDefault="00084389" w:rsidP="00084389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color w:val="000000"/>
                <w:lang w:val="gl-ES"/>
              </w:rPr>
              <w:t>Mulleres</w:t>
            </w:r>
          </w:p>
        </w:tc>
      </w:tr>
      <w:tr w:rsidR="00084389" w:rsidRPr="00084389" w:rsidTr="00084389">
        <w:trPr>
          <w:cnfStyle w:val="000000100000"/>
          <w:trHeight w:val="300"/>
        </w:trPr>
        <w:tc>
          <w:tcPr>
            <w:cnfStyle w:val="001000000000"/>
            <w:tcW w:w="3460" w:type="dxa"/>
            <w:hideMark/>
          </w:tcPr>
          <w:p w:rsidR="00084389" w:rsidRPr="00084389" w:rsidRDefault="00084389" w:rsidP="00084389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</w:p>
        </w:tc>
        <w:tc>
          <w:tcPr>
            <w:tcW w:w="1220" w:type="dxa"/>
            <w:hideMark/>
          </w:tcPr>
          <w:p w:rsidR="00084389" w:rsidRPr="00084389" w:rsidRDefault="00084389" w:rsidP="00084389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  <w:t>2009/III</w:t>
            </w:r>
          </w:p>
        </w:tc>
        <w:tc>
          <w:tcPr>
            <w:tcW w:w="1200" w:type="dxa"/>
            <w:hideMark/>
          </w:tcPr>
          <w:p w:rsidR="00084389" w:rsidRPr="00084389" w:rsidRDefault="00084389" w:rsidP="00084389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  <w:t>2016</w:t>
            </w:r>
          </w:p>
        </w:tc>
        <w:tc>
          <w:tcPr>
            <w:tcW w:w="1200" w:type="dxa"/>
            <w:hideMark/>
          </w:tcPr>
          <w:p w:rsidR="00084389" w:rsidRPr="00084389" w:rsidRDefault="00084389" w:rsidP="00084389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  <w:t>2017</w:t>
            </w:r>
          </w:p>
        </w:tc>
      </w:tr>
      <w:tr w:rsidR="00084389" w:rsidRPr="00084389" w:rsidTr="00084389">
        <w:trPr>
          <w:trHeight w:val="300"/>
        </w:trPr>
        <w:tc>
          <w:tcPr>
            <w:cnfStyle w:val="001000000000"/>
            <w:tcW w:w="3460" w:type="dxa"/>
            <w:hideMark/>
          </w:tcPr>
          <w:p w:rsidR="00084389" w:rsidRPr="00084389" w:rsidRDefault="00084389" w:rsidP="00084389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</w:p>
        </w:tc>
        <w:tc>
          <w:tcPr>
            <w:tcW w:w="1220" w:type="dxa"/>
            <w:hideMark/>
          </w:tcPr>
          <w:p w:rsidR="00084389" w:rsidRPr="00084389" w:rsidRDefault="00084389" w:rsidP="0008438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color w:val="000000"/>
                <w:lang w:val="gl-ES"/>
              </w:rPr>
              <w:t>G</w:t>
            </w:r>
            <w:r w:rsidR="00B533CD">
              <w:rPr>
                <w:rFonts w:ascii="Calibri" w:eastAsia="Times New Roman" w:hAnsi="Calibri" w:cs="Times New Roman"/>
                <w:color w:val="000000"/>
                <w:lang w:val="gl-ES"/>
              </w:rPr>
              <w:t>aliza</w:t>
            </w:r>
          </w:p>
        </w:tc>
        <w:tc>
          <w:tcPr>
            <w:tcW w:w="1200" w:type="dxa"/>
            <w:hideMark/>
          </w:tcPr>
          <w:p w:rsidR="00084389" w:rsidRPr="00084389" w:rsidRDefault="00084389" w:rsidP="0008438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color w:val="000000"/>
                <w:lang w:val="gl-ES"/>
              </w:rPr>
              <w:t>G</w:t>
            </w:r>
            <w:r w:rsidR="00B533CD">
              <w:rPr>
                <w:rFonts w:ascii="Calibri" w:eastAsia="Times New Roman" w:hAnsi="Calibri" w:cs="Times New Roman"/>
                <w:color w:val="000000"/>
                <w:lang w:val="gl-ES"/>
              </w:rPr>
              <w:t>aliza</w:t>
            </w:r>
          </w:p>
        </w:tc>
        <w:tc>
          <w:tcPr>
            <w:tcW w:w="1200" w:type="dxa"/>
            <w:hideMark/>
          </w:tcPr>
          <w:p w:rsidR="00084389" w:rsidRPr="00084389" w:rsidRDefault="00084389" w:rsidP="00084389">
            <w:pPr>
              <w:jc w:val="center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color w:val="000000"/>
                <w:lang w:val="gl-ES"/>
              </w:rPr>
              <w:t>G</w:t>
            </w:r>
            <w:r w:rsidR="00B533CD">
              <w:rPr>
                <w:rFonts w:ascii="Calibri" w:eastAsia="Times New Roman" w:hAnsi="Calibri" w:cs="Times New Roman"/>
                <w:color w:val="000000"/>
                <w:lang w:val="gl-ES"/>
              </w:rPr>
              <w:t>aliza</w:t>
            </w:r>
          </w:p>
        </w:tc>
      </w:tr>
      <w:tr w:rsidR="00084389" w:rsidRPr="00084389" w:rsidTr="00084389">
        <w:trPr>
          <w:cnfStyle w:val="000000100000"/>
          <w:trHeight w:val="300"/>
        </w:trPr>
        <w:tc>
          <w:tcPr>
            <w:cnfStyle w:val="001000000000"/>
            <w:tcW w:w="3460" w:type="dxa"/>
            <w:hideMark/>
          </w:tcPr>
          <w:p w:rsidR="00084389" w:rsidRPr="00084389" w:rsidRDefault="00084389" w:rsidP="00084389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color w:val="000000"/>
                <w:lang w:val="gl-ES"/>
              </w:rPr>
              <w:t>Total</w:t>
            </w:r>
          </w:p>
        </w:tc>
        <w:tc>
          <w:tcPr>
            <w:tcW w:w="1220" w:type="dxa"/>
            <w:hideMark/>
          </w:tcPr>
          <w:p w:rsidR="00084389" w:rsidRPr="00084389" w:rsidRDefault="00084389" w:rsidP="0008438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color w:val="000000"/>
                <w:lang w:val="gl-ES"/>
              </w:rPr>
              <w:t>79,5</w:t>
            </w:r>
          </w:p>
        </w:tc>
        <w:tc>
          <w:tcPr>
            <w:tcW w:w="1200" w:type="dxa"/>
            <w:hideMark/>
          </w:tcPr>
          <w:p w:rsidR="00084389" w:rsidRPr="00084389" w:rsidRDefault="00084389" w:rsidP="0008438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color w:val="000000"/>
                <w:lang w:val="gl-ES"/>
              </w:rPr>
              <w:t>106,6</w:t>
            </w:r>
          </w:p>
        </w:tc>
        <w:tc>
          <w:tcPr>
            <w:tcW w:w="1200" w:type="dxa"/>
            <w:hideMark/>
          </w:tcPr>
          <w:p w:rsidR="00084389" w:rsidRPr="00084389" w:rsidRDefault="00084389" w:rsidP="0008438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color w:val="000000"/>
                <w:lang w:val="gl-ES"/>
              </w:rPr>
              <w:t>98,3</w:t>
            </w:r>
          </w:p>
        </w:tc>
      </w:tr>
      <w:tr w:rsidR="00084389" w:rsidRPr="00084389" w:rsidTr="00084389">
        <w:trPr>
          <w:trHeight w:val="300"/>
        </w:trPr>
        <w:tc>
          <w:tcPr>
            <w:cnfStyle w:val="001000000000"/>
            <w:tcW w:w="3460" w:type="dxa"/>
            <w:hideMark/>
          </w:tcPr>
          <w:p w:rsidR="00084389" w:rsidRPr="00084389" w:rsidRDefault="00084389" w:rsidP="00084389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color w:val="000000"/>
                <w:lang w:val="gl-ES"/>
              </w:rPr>
              <w:t>Menos de 1 mes</w:t>
            </w:r>
          </w:p>
        </w:tc>
        <w:tc>
          <w:tcPr>
            <w:tcW w:w="1220" w:type="dxa"/>
            <w:hideMark/>
          </w:tcPr>
          <w:p w:rsidR="00084389" w:rsidRPr="00084389" w:rsidRDefault="00084389" w:rsidP="0008438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color w:val="000000"/>
                <w:lang w:val="gl-ES"/>
              </w:rPr>
              <w:t>6,5</w:t>
            </w:r>
          </w:p>
        </w:tc>
        <w:tc>
          <w:tcPr>
            <w:tcW w:w="1200" w:type="dxa"/>
            <w:hideMark/>
          </w:tcPr>
          <w:p w:rsidR="00084389" w:rsidRPr="00084389" w:rsidRDefault="00084389" w:rsidP="0008438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color w:val="000000"/>
                <w:lang w:val="gl-ES"/>
              </w:rPr>
              <w:t>5,1</w:t>
            </w:r>
          </w:p>
        </w:tc>
        <w:tc>
          <w:tcPr>
            <w:tcW w:w="1200" w:type="dxa"/>
            <w:hideMark/>
          </w:tcPr>
          <w:p w:rsidR="00084389" w:rsidRPr="00084389" w:rsidRDefault="00084389" w:rsidP="0008438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color w:val="000000"/>
                <w:lang w:val="gl-ES"/>
              </w:rPr>
              <w:t>5</w:t>
            </w:r>
          </w:p>
        </w:tc>
      </w:tr>
      <w:tr w:rsidR="00084389" w:rsidRPr="00084389" w:rsidTr="00084389">
        <w:trPr>
          <w:cnfStyle w:val="000000100000"/>
          <w:trHeight w:val="300"/>
        </w:trPr>
        <w:tc>
          <w:tcPr>
            <w:cnfStyle w:val="001000000000"/>
            <w:tcW w:w="3460" w:type="dxa"/>
            <w:hideMark/>
          </w:tcPr>
          <w:p w:rsidR="00084389" w:rsidRPr="00084389" w:rsidRDefault="00084389" w:rsidP="00084389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color w:val="000000"/>
                <w:lang w:val="gl-ES"/>
              </w:rPr>
              <w:t>De 1 a &lt; 3 meses</w:t>
            </w:r>
          </w:p>
        </w:tc>
        <w:tc>
          <w:tcPr>
            <w:tcW w:w="1220" w:type="dxa"/>
            <w:hideMark/>
          </w:tcPr>
          <w:p w:rsidR="00084389" w:rsidRPr="00084389" w:rsidRDefault="00084389" w:rsidP="0008438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color w:val="000000"/>
                <w:lang w:val="gl-ES"/>
              </w:rPr>
              <w:t>12</w:t>
            </w:r>
          </w:p>
        </w:tc>
        <w:tc>
          <w:tcPr>
            <w:tcW w:w="1200" w:type="dxa"/>
            <w:hideMark/>
          </w:tcPr>
          <w:p w:rsidR="00084389" w:rsidRPr="00084389" w:rsidRDefault="00084389" w:rsidP="0008438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color w:val="000000"/>
                <w:lang w:val="gl-ES"/>
              </w:rPr>
              <w:t>11,7</w:t>
            </w:r>
          </w:p>
        </w:tc>
        <w:tc>
          <w:tcPr>
            <w:tcW w:w="1200" w:type="dxa"/>
            <w:hideMark/>
          </w:tcPr>
          <w:p w:rsidR="00084389" w:rsidRPr="00084389" w:rsidRDefault="00084389" w:rsidP="0008438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color w:val="000000"/>
                <w:lang w:val="gl-ES"/>
              </w:rPr>
              <w:t>11,2</w:t>
            </w:r>
          </w:p>
        </w:tc>
      </w:tr>
      <w:tr w:rsidR="00084389" w:rsidRPr="00084389" w:rsidTr="00084389">
        <w:trPr>
          <w:trHeight w:val="300"/>
        </w:trPr>
        <w:tc>
          <w:tcPr>
            <w:cnfStyle w:val="001000000000"/>
            <w:tcW w:w="3460" w:type="dxa"/>
            <w:hideMark/>
          </w:tcPr>
          <w:p w:rsidR="00084389" w:rsidRPr="00084389" w:rsidRDefault="00084389" w:rsidP="00084389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color w:val="000000"/>
                <w:lang w:val="gl-ES"/>
              </w:rPr>
              <w:t>De 3 a &lt; 6 meses</w:t>
            </w:r>
          </w:p>
        </w:tc>
        <w:tc>
          <w:tcPr>
            <w:tcW w:w="1220" w:type="dxa"/>
            <w:hideMark/>
          </w:tcPr>
          <w:p w:rsidR="00084389" w:rsidRPr="00084389" w:rsidRDefault="00084389" w:rsidP="0008438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color w:val="000000"/>
                <w:lang w:val="gl-ES"/>
              </w:rPr>
              <w:t>11</w:t>
            </w:r>
          </w:p>
        </w:tc>
        <w:tc>
          <w:tcPr>
            <w:tcW w:w="1200" w:type="dxa"/>
            <w:hideMark/>
          </w:tcPr>
          <w:p w:rsidR="00084389" w:rsidRPr="00084389" w:rsidRDefault="00084389" w:rsidP="0008438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color w:val="000000"/>
                <w:lang w:val="gl-ES"/>
              </w:rPr>
              <w:t>9,5</w:t>
            </w:r>
          </w:p>
        </w:tc>
        <w:tc>
          <w:tcPr>
            <w:tcW w:w="1200" w:type="dxa"/>
            <w:hideMark/>
          </w:tcPr>
          <w:p w:rsidR="00084389" w:rsidRPr="00084389" w:rsidRDefault="00084389" w:rsidP="0008438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color w:val="000000"/>
                <w:lang w:val="gl-ES"/>
              </w:rPr>
              <w:t>10,2</w:t>
            </w:r>
          </w:p>
        </w:tc>
      </w:tr>
      <w:tr w:rsidR="00084389" w:rsidRPr="00084389" w:rsidTr="00084389">
        <w:trPr>
          <w:cnfStyle w:val="000000100000"/>
          <w:trHeight w:val="300"/>
        </w:trPr>
        <w:tc>
          <w:tcPr>
            <w:cnfStyle w:val="001000000000"/>
            <w:tcW w:w="3460" w:type="dxa"/>
            <w:hideMark/>
          </w:tcPr>
          <w:p w:rsidR="00084389" w:rsidRPr="00084389" w:rsidRDefault="00084389" w:rsidP="00084389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color w:val="000000"/>
                <w:lang w:val="gl-ES"/>
              </w:rPr>
              <w:t>De 6 meses a &lt; 1 ano</w:t>
            </w:r>
          </w:p>
        </w:tc>
        <w:tc>
          <w:tcPr>
            <w:tcW w:w="1220" w:type="dxa"/>
            <w:hideMark/>
          </w:tcPr>
          <w:p w:rsidR="00084389" w:rsidRPr="00084389" w:rsidRDefault="00084389" w:rsidP="0008438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color w:val="000000"/>
                <w:lang w:val="gl-ES"/>
              </w:rPr>
              <w:t>15,9</w:t>
            </w:r>
          </w:p>
        </w:tc>
        <w:tc>
          <w:tcPr>
            <w:tcW w:w="1200" w:type="dxa"/>
            <w:hideMark/>
          </w:tcPr>
          <w:p w:rsidR="00084389" w:rsidRPr="00084389" w:rsidRDefault="00084389" w:rsidP="0008438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color w:val="000000"/>
                <w:lang w:val="gl-ES"/>
              </w:rPr>
              <w:t>12,8</w:t>
            </w:r>
          </w:p>
        </w:tc>
        <w:tc>
          <w:tcPr>
            <w:tcW w:w="1200" w:type="dxa"/>
            <w:hideMark/>
          </w:tcPr>
          <w:p w:rsidR="00084389" w:rsidRPr="00084389" w:rsidRDefault="00084389" w:rsidP="0008438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color w:val="000000"/>
                <w:lang w:val="gl-ES"/>
              </w:rPr>
              <w:t>10,6</w:t>
            </w:r>
          </w:p>
        </w:tc>
      </w:tr>
      <w:tr w:rsidR="00084389" w:rsidRPr="00084389" w:rsidTr="00084389">
        <w:trPr>
          <w:trHeight w:val="300"/>
        </w:trPr>
        <w:tc>
          <w:tcPr>
            <w:cnfStyle w:val="001000000000"/>
            <w:tcW w:w="3460" w:type="dxa"/>
            <w:hideMark/>
          </w:tcPr>
          <w:p w:rsidR="00084389" w:rsidRPr="00084389" w:rsidRDefault="00084389" w:rsidP="00084389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color w:val="000000"/>
                <w:lang w:val="gl-ES"/>
              </w:rPr>
              <w:t>De 1 ano a &lt; 1 ano e medio</w:t>
            </w:r>
          </w:p>
        </w:tc>
        <w:tc>
          <w:tcPr>
            <w:tcW w:w="1220" w:type="dxa"/>
            <w:hideMark/>
          </w:tcPr>
          <w:p w:rsidR="00084389" w:rsidRPr="00084389" w:rsidRDefault="00084389" w:rsidP="0008438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color w:val="000000"/>
                <w:lang w:val="gl-ES"/>
              </w:rPr>
              <w:t>8,2</w:t>
            </w:r>
          </w:p>
        </w:tc>
        <w:tc>
          <w:tcPr>
            <w:tcW w:w="1200" w:type="dxa"/>
            <w:hideMark/>
          </w:tcPr>
          <w:p w:rsidR="00084389" w:rsidRPr="00084389" w:rsidRDefault="00084389" w:rsidP="0008438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color w:val="000000"/>
                <w:lang w:val="gl-ES"/>
              </w:rPr>
              <w:t>9</w:t>
            </w:r>
          </w:p>
        </w:tc>
        <w:tc>
          <w:tcPr>
            <w:tcW w:w="1200" w:type="dxa"/>
            <w:hideMark/>
          </w:tcPr>
          <w:p w:rsidR="00084389" w:rsidRPr="00084389" w:rsidRDefault="00084389" w:rsidP="0008438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color w:val="000000"/>
                <w:lang w:val="gl-ES"/>
              </w:rPr>
              <w:t>8,6</w:t>
            </w:r>
          </w:p>
        </w:tc>
      </w:tr>
      <w:tr w:rsidR="00084389" w:rsidRPr="00084389" w:rsidTr="00084389">
        <w:trPr>
          <w:cnfStyle w:val="000000100000"/>
          <w:trHeight w:val="300"/>
        </w:trPr>
        <w:tc>
          <w:tcPr>
            <w:cnfStyle w:val="001000000000"/>
            <w:tcW w:w="3460" w:type="dxa"/>
            <w:hideMark/>
          </w:tcPr>
          <w:p w:rsidR="00084389" w:rsidRPr="00084389" w:rsidRDefault="00084389" w:rsidP="00084389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color w:val="000000"/>
                <w:lang w:val="gl-ES"/>
              </w:rPr>
              <w:t>De 1 ano e medio a &lt; 2 anos</w:t>
            </w:r>
          </w:p>
        </w:tc>
        <w:tc>
          <w:tcPr>
            <w:tcW w:w="1220" w:type="dxa"/>
            <w:hideMark/>
          </w:tcPr>
          <w:p w:rsidR="00084389" w:rsidRPr="00084389" w:rsidRDefault="00084389" w:rsidP="0008438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color w:val="000000"/>
                <w:lang w:val="gl-ES"/>
              </w:rPr>
              <w:t>5,1</w:t>
            </w:r>
          </w:p>
        </w:tc>
        <w:tc>
          <w:tcPr>
            <w:tcW w:w="1200" w:type="dxa"/>
            <w:hideMark/>
          </w:tcPr>
          <w:p w:rsidR="00084389" w:rsidRPr="00084389" w:rsidRDefault="00084389" w:rsidP="0008438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color w:val="000000"/>
                <w:lang w:val="gl-ES"/>
              </w:rPr>
              <w:t>7,1</w:t>
            </w:r>
          </w:p>
        </w:tc>
        <w:tc>
          <w:tcPr>
            <w:tcW w:w="1200" w:type="dxa"/>
            <w:hideMark/>
          </w:tcPr>
          <w:p w:rsidR="00084389" w:rsidRPr="00084389" w:rsidRDefault="00084389" w:rsidP="0008438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color w:val="000000"/>
                <w:lang w:val="gl-ES"/>
              </w:rPr>
              <w:t>5,7</w:t>
            </w:r>
          </w:p>
        </w:tc>
      </w:tr>
      <w:tr w:rsidR="00084389" w:rsidRPr="00084389" w:rsidTr="00084389">
        <w:trPr>
          <w:trHeight w:val="300"/>
        </w:trPr>
        <w:tc>
          <w:tcPr>
            <w:cnfStyle w:val="001000000000"/>
            <w:tcW w:w="3460" w:type="dxa"/>
            <w:hideMark/>
          </w:tcPr>
          <w:p w:rsidR="00084389" w:rsidRPr="00084389" w:rsidRDefault="00084389" w:rsidP="00084389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color w:val="000000"/>
                <w:lang w:val="gl-ES"/>
              </w:rPr>
              <w:t>Dous ou mais anos</w:t>
            </w:r>
          </w:p>
        </w:tc>
        <w:tc>
          <w:tcPr>
            <w:tcW w:w="1220" w:type="dxa"/>
            <w:hideMark/>
          </w:tcPr>
          <w:p w:rsidR="00084389" w:rsidRPr="00084389" w:rsidRDefault="00084389" w:rsidP="0008438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color w:val="000000"/>
                <w:lang w:val="gl-ES"/>
              </w:rPr>
              <w:t>15</w:t>
            </w:r>
          </w:p>
        </w:tc>
        <w:tc>
          <w:tcPr>
            <w:tcW w:w="1200" w:type="dxa"/>
            <w:hideMark/>
          </w:tcPr>
          <w:p w:rsidR="00084389" w:rsidRPr="00084389" w:rsidRDefault="00084389" w:rsidP="0008438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color w:val="000000"/>
                <w:lang w:val="gl-ES"/>
              </w:rPr>
              <w:t>45,7</w:t>
            </w:r>
          </w:p>
        </w:tc>
        <w:tc>
          <w:tcPr>
            <w:tcW w:w="1200" w:type="dxa"/>
            <w:hideMark/>
          </w:tcPr>
          <w:p w:rsidR="00084389" w:rsidRPr="00084389" w:rsidRDefault="00084389" w:rsidP="0008438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color w:val="000000"/>
                <w:lang w:val="gl-ES"/>
              </w:rPr>
              <w:t>40</w:t>
            </w:r>
          </w:p>
        </w:tc>
      </w:tr>
      <w:tr w:rsidR="00084389" w:rsidRPr="00084389" w:rsidTr="00084389">
        <w:trPr>
          <w:cnfStyle w:val="000000100000"/>
          <w:trHeight w:val="300"/>
        </w:trPr>
        <w:tc>
          <w:tcPr>
            <w:cnfStyle w:val="001000000000"/>
            <w:tcW w:w="3460" w:type="dxa"/>
            <w:hideMark/>
          </w:tcPr>
          <w:p w:rsidR="00084389" w:rsidRPr="00084389" w:rsidRDefault="00084389" w:rsidP="00084389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color w:val="000000"/>
                <w:lang w:val="gl-ES"/>
              </w:rPr>
              <w:t>Xa atopou traballo</w:t>
            </w:r>
          </w:p>
        </w:tc>
        <w:tc>
          <w:tcPr>
            <w:tcW w:w="1220" w:type="dxa"/>
            <w:hideMark/>
          </w:tcPr>
          <w:p w:rsidR="00084389" w:rsidRPr="00084389" w:rsidRDefault="00084389" w:rsidP="0008438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color w:val="000000"/>
                <w:lang w:val="gl-ES"/>
              </w:rPr>
              <w:t>5,7</w:t>
            </w:r>
          </w:p>
        </w:tc>
        <w:tc>
          <w:tcPr>
            <w:tcW w:w="1200" w:type="dxa"/>
            <w:hideMark/>
          </w:tcPr>
          <w:p w:rsidR="00084389" w:rsidRPr="00084389" w:rsidRDefault="00084389" w:rsidP="0008438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color w:val="000000"/>
                <w:lang w:val="gl-ES"/>
              </w:rPr>
              <w:t>5,6</w:t>
            </w:r>
          </w:p>
        </w:tc>
        <w:tc>
          <w:tcPr>
            <w:tcW w:w="1200" w:type="dxa"/>
            <w:hideMark/>
          </w:tcPr>
          <w:p w:rsidR="00084389" w:rsidRPr="00084389" w:rsidRDefault="00084389" w:rsidP="0008438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084389">
              <w:rPr>
                <w:rFonts w:ascii="Calibri" w:eastAsia="Times New Roman" w:hAnsi="Calibri" w:cs="Times New Roman"/>
                <w:color w:val="000000"/>
                <w:lang w:val="gl-ES"/>
              </w:rPr>
              <w:t>6,9</w:t>
            </w:r>
          </w:p>
        </w:tc>
      </w:tr>
    </w:tbl>
    <w:p w:rsidR="00084389" w:rsidRPr="00E14AC9" w:rsidRDefault="00084389" w:rsidP="00084389">
      <w:pPr>
        <w:jc w:val="both"/>
        <w:rPr>
          <w:rFonts w:ascii="Arial" w:hAnsi="Arial" w:cs="Arial"/>
          <w:i/>
          <w:sz w:val="24"/>
          <w:szCs w:val="24"/>
          <w:lang w:val="gl-ES"/>
        </w:rPr>
      </w:pPr>
      <w:r w:rsidRPr="00E14AC9">
        <w:rPr>
          <w:rFonts w:ascii="Arial" w:hAnsi="Arial" w:cs="Arial"/>
          <w:i/>
          <w:sz w:val="24"/>
          <w:szCs w:val="24"/>
          <w:lang w:val="gl-ES"/>
        </w:rPr>
        <w:t>Fonte: EPA. INE</w:t>
      </w:r>
    </w:p>
    <w:p w:rsidR="00084389" w:rsidRDefault="00F96A0B" w:rsidP="00A43D34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No ano 2009 as paradas de longa duración representaban o 18,8%</w:t>
      </w:r>
      <w:r w:rsidR="00461778">
        <w:rPr>
          <w:rFonts w:ascii="Arial" w:hAnsi="Arial" w:cs="Arial"/>
          <w:sz w:val="24"/>
          <w:szCs w:val="24"/>
          <w:lang w:val="gl-ES"/>
        </w:rPr>
        <w:t>.</w:t>
      </w:r>
    </w:p>
    <w:p w:rsidR="00461778" w:rsidRDefault="00461778" w:rsidP="00A43D34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A medida que aumenta a tempo </w:t>
      </w:r>
      <w:r w:rsidR="00E14AC9">
        <w:rPr>
          <w:rFonts w:ascii="Arial" w:hAnsi="Arial" w:cs="Arial"/>
          <w:sz w:val="24"/>
          <w:szCs w:val="24"/>
          <w:lang w:val="gl-ES"/>
        </w:rPr>
        <w:t>á</w:t>
      </w:r>
      <w:r>
        <w:rPr>
          <w:rFonts w:ascii="Arial" w:hAnsi="Arial" w:cs="Arial"/>
          <w:sz w:val="24"/>
          <w:szCs w:val="24"/>
          <w:lang w:val="gl-ES"/>
        </w:rPr>
        <w:t xml:space="preserve"> procura dun emprego, vanse reducindo as posibilidades de dispor dalgún tipo de prestación, e polo tanto a taxa de cobertura das persoas desempregadas </w:t>
      </w:r>
      <w:r w:rsidR="00E14AC9">
        <w:rPr>
          <w:rFonts w:ascii="Arial" w:hAnsi="Arial" w:cs="Arial"/>
          <w:sz w:val="24"/>
          <w:szCs w:val="24"/>
          <w:lang w:val="gl-ES"/>
        </w:rPr>
        <w:t xml:space="preserve">vai </w:t>
      </w:r>
      <w:r>
        <w:rPr>
          <w:rFonts w:ascii="Arial" w:hAnsi="Arial" w:cs="Arial"/>
          <w:sz w:val="24"/>
          <w:szCs w:val="24"/>
          <w:lang w:val="gl-ES"/>
        </w:rPr>
        <w:t>descendendo.</w:t>
      </w:r>
    </w:p>
    <w:p w:rsidR="00461778" w:rsidRDefault="00461778" w:rsidP="00A43D34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No ano 2017, </w:t>
      </w:r>
      <w:r w:rsidR="00E14AC9">
        <w:rPr>
          <w:rFonts w:ascii="Arial" w:hAnsi="Arial" w:cs="Arial"/>
          <w:sz w:val="24"/>
          <w:szCs w:val="24"/>
          <w:lang w:val="gl-ES"/>
        </w:rPr>
        <w:t>apenas</w:t>
      </w:r>
      <w:r>
        <w:rPr>
          <w:rFonts w:ascii="Arial" w:hAnsi="Arial" w:cs="Arial"/>
          <w:sz w:val="24"/>
          <w:szCs w:val="24"/>
          <w:lang w:val="gl-ES"/>
        </w:rPr>
        <w:t xml:space="preserve"> 47% das mulleres paradas en G</w:t>
      </w:r>
      <w:r w:rsidR="00B533CD">
        <w:rPr>
          <w:rFonts w:ascii="Arial" w:hAnsi="Arial" w:cs="Arial"/>
          <w:sz w:val="24"/>
          <w:szCs w:val="24"/>
          <w:lang w:val="gl-ES"/>
        </w:rPr>
        <w:t>aliza</w:t>
      </w:r>
      <w:r>
        <w:rPr>
          <w:rFonts w:ascii="Arial" w:hAnsi="Arial" w:cs="Arial"/>
          <w:sz w:val="24"/>
          <w:szCs w:val="24"/>
          <w:lang w:val="gl-ES"/>
        </w:rPr>
        <w:t xml:space="preserve"> percibía algún tipo de prestación</w:t>
      </w:r>
      <w:r w:rsidR="00E14AC9">
        <w:rPr>
          <w:rFonts w:ascii="Arial" w:hAnsi="Arial" w:cs="Arial"/>
          <w:sz w:val="24"/>
          <w:szCs w:val="24"/>
          <w:lang w:val="gl-ES"/>
        </w:rPr>
        <w:t>. N</w:t>
      </w:r>
      <w:r>
        <w:rPr>
          <w:rFonts w:ascii="Arial" w:hAnsi="Arial" w:cs="Arial"/>
          <w:sz w:val="24"/>
          <w:szCs w:val="24"/>
          <w:lang w:val="gl-ES"/>
        </w:rPr>
        <w:t xml:space="preserve">o caso dos homes </w:t>
      </w:r>
      <w:r w:rsidR="00E14AC9">
        <w:rPr>
          <w:rFonts w:ascii="Arial" w:hAnsi="Arial" w:cs="Arial"/>
          <w:sz w:val="24"/>
          <w:szCs w:val="24"/>
          <w:lang w:val="gl-ES"/>
        </w:rPr>
        <w:t>era o 57,8%. I</w:t>
      </w:r>
      <w:r>
        <w:rPr>
          <w:rFonts w:ascii="Arial" w:hAnsi="Arial" w:cs="Arial"/>
          <w:sz w:val="24"/>
          <w:szCs w:val="24"/>
          <w:lang w:val="gl-ES"/>
        </w:rPr>
        <w:t>sto, a pesar de nos período</w:t>
      </w:r>
      <w:r w:rsidR="00E14AC9">
        <w:rPr>
          <w:rFonts w:ascii="Arial" w:hAnsi="Arial" w:cs="Arial"/>
          <w:sz w:val="24"/>
          <w:szCs w:val="24"/>
          <w:lang w:val="gl-ES"/>
        </w:rPr>
        <w:t>s</w:t>
      </w:r>
      <w:r>
        <w:rPr>
          <w:rFonts w:ascii="Arial" w:hAnsi="Arial" w:cs="Arial"/>
          <w:sz w:val="24"/>
          <w:szCs w:val="24"/>
          <w:lang w:val="gl-ES"/>
        </w:rPr>
        <w:t xml:space="preserve"> máis álxidos da crise o paro masculino superaba altamente</w:t>
      </w:r>
      <w:r w:rsidR="004E08C4">
        <w:rPr>
          <w:rFonts w:ascii="Arial" w:hAnsi="Arial" w:cs="Arial"/>
          <w:sz w:val="24"/>
          <w:szCs w:val="24"/>
          <w:lang w:val="gl-ES"/>
        </w:rPr>
        <w:t xml:space="preserve"> o </w:t>
      </w:r>
      <w:r>
        <w:rPr>
          <w:rFonts w:ascii="Arial" w:hAnsi="Arial" w:cs="Arial"/>
          <w:sz w:val="24"/>
          <w:szCs w:val="24"/>
          <w:lang w:val="gl-ES"/>
        </w:rPr>
        <w:t xml:space="preserve">feminino. A esta forte </w:t>
      </w:r>
      <w:r w:rsidR="00B533CD">
        <w:rPr>
          <w:rFonts w:ascii="Arial" w:hAnsi="Arial" w:cs="Arial"/>
          <w:sz w:val="24"/>
          <w:szCs w:val="24"/>
          <w:lang w:val="gl-ES"/>
        </w:rPr>
        <w:t>fenda</w:t>
      </w:r>
      <w:r>
        <w:rPr>
          <w:rFonts w:ascii="Arial" w:hAnsi="Arial" w:cs="Arial"/>
          <w:sz w:val="24"/>
          <w:szCs w:val="24"/>
          <w:lang w:val="gl-ES"/>
        </w:rPr>
        <w:t xml:space="preserve"> non s</w:t>
      </w:r>
      <w:r w:rsidR="00E14AC9">
        <w:rPr>
          <w:rFonts w:ascii="Arial" w:hAnsi="Arial" w:cs="Arial"/>
          <w:sz w:val="24"/>
          <w:szCs w:val="24"/>
          <w:lang w:val="gl-ES"/>
        </w:rPr>
        <w:t>ó</w:t>
      </w:r>
      <w:r>
        <w:rPr>
          <w:rFonts w:ascii="Arial" w:hAnsi="Arial" w:cs="Arial"/>
          <w:sz w:val="24"/>
          <w:szCs w:val="24"/>
          <w:lang w:val="gl-ES"/>
        </w:rPr>
        <w:t xml:space="preserve"> contribúe o maio</w:t>
      </w:r>
      <w:r w:rsidR="00E14AC9">
        <w:rPr>
          <w:rFonts w:ascii="Arial" w:hAnsi="Arial" w:cs="Arial"/>
          <w:sz w:val="24"/>
          <w:szCs w:val="24"/>
          <w:lang w:val="gl-ES"/>
        </w:rPr>
        <w:t>r</w:t>
      </w:r>
      <w:r>
        <w:rPr>
          <w:rFonts w:ascii="Arial" w:hAnsi="Arial" w:cs="Arial"/>
          <w:sz w:val="24"/>
          <w:szCs w:val="24"/>
          <w:lang w:val="gl-ES"/>
        </w:rPr>
        <w:t xml:space="preserve"> número de mulleres paradas de longa duración, </w:t>
      </w:r>
      <w:r w:rsidR="00E14AC9">
        <w:rPr>
          <w:rFonts w:ascii="Arial" w:hAnsi="Arial" w:cs="Arial"/>
          <w:sz w:val="24"/>
          <w:szCs w:val="24"/>
          <w:lang w:val="gl-ES"/>
        </w:rPr>
        <w:t xml:space="preserve">senón tamén </w:t>
      </w:r>
      <w:r>
        <w:rPr>
          <w:rFonts w:ascii="Arial" w:hAnsi="Arial" w:cs="Arial"/>
          <w:sz w:val="24"/>
          <w:szCs w:val="24"/>
          <w:lang w:val="gl-ES"/>
        </w:rPr>
        <w:t>a elevada rotación e escasa duración dos contratos</w:t>
      </w:r>
      <w:r w:rsidR="00E14AC9">
        <w:rPr>
          <w:rFonts w:ascii="Arial" w:hAnsi="Arial" w:cs="Arial"/>
          <w:sz w:val="24"/>
          <w:szCs w:val="24"/>
          <w:lang w:val="gl-ES"/>
        </w:rPr>
        <w:t>, o</w:t>
      </w:r>
      <w:r>
        <w:rPr>
          <w:rFonts w:ascii="Arial" w:hAnsi="Arial" w:cs="Arial"/>
          <w:sz w:val="24"/>
          <w:szCs w:val="24"/>
          <w:lang w:val="gl-ES"/>
        </w:rPr>
        <w:t xml:space="preserve"> que leva a que se necesite máis tempo para adquirir os requisitos mínimos que dan dereito á prestación.</w:t>
      </w:r>
    </w:p>
    <w:p w:rsidR="00461778" w:rsidRDefault="00BC6354" w:rsidP="00A43D34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Esta precariedade no emprego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>
        <w:rPr>
          <w:rFonts w:ascii="Arial" w:hAnsi="Arial" w:cs="Arial"/>
          <w:sz w:val="24"/>
          <w:szCs w:val="24"/>
          <w:lang w:val="gl-ES"/>
        </w:rPr>
        <w:t>ten implicación</w:t>
      </w:r>
      <w:r w:rsidR="00E14AC9">
        <w:rPr>
          <w:rFonts w:ascii="Arial" w:hAnsi="Arial" w:cs="Arial"/>
          <w:sz w:val="24"/>
          <w:szCs w:val="24"/>
          <w:lang w:val="gl-ES"/>
        </w:rPr>
        <w:t>s</w:t>
      </w:r>
      <w:r>
        <w:rPr>
          <w:rFonts w:ascii="Arial" w:hAnsi="Arial" w:cs="Arial"/>
          <w:sz w:val="24"/>
          <w:szCs w:val="24"/>
          <w:lang w:val="gl-ES"/>
        </w:rPr>
        <w:t xml:space="preserve"> unha vez rematada a vida laboral, xa que condiciona de por vida os ingresos das persoas inactivas, das pensionistas e xubiladas.</w:t>
      </w:r>
    </w:p>
    <w:p w:rsidR="00BC6354" w:rsidRDefault="00BC6354" w:rsidP="00A43D34">
      <w:pPr>
        <w:jc w:val="both"/>
        <w:rPr>
          <w:rFonts w:ascii="Arial" w:hAnsi="Arial" w:cs="Arial"/>
          <w:sz w:val="24"/>
          <w:szCs w:val="24"/>
          <w:lang w:val="gl-ES"/>
        </w:rPr>
      </w:pPr>
    </w:p>
    <w:p w:rsidR="0090628A" w:rsidRDefault="0090628A" w:rsidP="00A43D34">
      <w:pPr>
        <w:jc w:val="both"/>
        <w:rPr>
          <w:rFonts w:ascii="Arial" w:hAnsi="Arial" w:cs="Arial"/>
          <w:sz w:val="24"/>
          <w:szCs w:val="24"/>
          <w:lang w:val="gl-ES"/>
        </w:rPr>
      </w:pPr>
    </w:p>
    <w:p w:rsidR="0090628A" w:rsidRDefault="0090628A" w:rsidP="00A43D34">
      <w:pPr>
        <w:jc w:val="both"/>
        <w:rPr>
          <w:rFonts w:ascii="Arial" w:hAnsi="Arial" w:cs="Arial"/>
          <w:sz w:val="24"/>
          <w:szCs w:val="24"/>
          <w:lang w:val="gl-ES"/>
        </w:rPr>
      </w:pPr>
    </w:p>
    <w:p w:rsidR="00CD128F" w:rsidRDefault="00CD128F" w:rsidP="00A43D34">
      <w:pPr>
        <w:jc w:val="both"/>
        <w:rPr>
          <w:rFonts w:ascii="Arial" w:hAnsi="Arial" w:cs="Arial"/>
          <w:sz w:val="24"/>
          <w:szCs w:val="24"/>
          <w:lang w:val="gl-ES"/>
        </w:rPr>
      </w:pPr>
    </w:p>
    <w:p w:rsidR="00CD128F" w:rsidRDefault="00CD128F" w:rsidP="00A43D34">
      <w:pPr>
        <w:jc w:val="both"/>
        <w:rPr>
          <w:rFonts w:ascii="Arial" w:hAnsi="Arial" w:cs="Arial"/>
          <w:sz w:val="24"/>
          <w:szCs w:val="24"/>
          <w:lang w:val="gl-ES"/>
        </w:rPr>
      </w:pPr>
    </w:p>
    <w:p w:rsidR="00CD128F" w:rsidRPr="00CD128F" w:rsidRDefault="00CD128F" w:rsidP="00A43D34">
      <w:pPr>
        <w:jc w:val="both"/>
        <w:rPr>
          <w:rFonts w:ascii="Arial" w:hAnsi="Arial" w:cs="Arial"/>
          <w:b/>
          <w:sz w:val="32"/>
          <w:szCs w:val="32"/>
          <w:lang w:val="gl-ES"/>
        </w:rPr>
      </w:pPr>
      <w:r w:rsidRPr="00CD128F">
        <w:rPr>
          <w:rFonts w:ascii="Arial" w:hAnsi="Arial" w:cs="Arial"/>
          <w:b/>
          <w:sz w:val="32"/>
          <w:szCs w:val="32"/>
          <w:lang w:val="gl-ES"/>
        </w:rPr>
        <w:t>Pensionistas</w:t>
      </w:r>
    </w:p>
    <w:p w:rsidR="00CD128F" w:rsidRDefault="00CD128F" w:rsidP="00A43D34">
      <w:pPr>
        <w:jc w:val="both"/>
        <w:rPr>
          <w:rFonts w:ascii="Arial" w:hAnsi="Arial" w:cs="Arial"/>
          <w:sz w:val="24"/>
          <w:szCs w:val="24"/>
          <w:lang w:val="gl-ES"/>
        </w:rPr>
      </w:pPr>
    </w:p>
    <w:p w:rsidR="0090628A" w:rsidRDefault="0090628A" w:rsidP="00A43D34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Número e importe medio das persoas pensionistas. Datos 2016</w:t>
      </w:r>
    </w:p>
    <w:tbl>
      <w:tblPr>
        <w:tblStyle w:val="Sombreadoclaro-nfasis4"/>
        <w:tblW w:w="9480" w:type="dxa"/>
        <w:tblLook w:val="04A0"/>
      </w:tblPr>
      <w:tblGrid>
        <w:gridCol w:w="3452"/>
        <w:gridCol w:w="1218"/>
        <w:gridCol w:w="1198"/>
        <w:gridCol w:w="1198"/>
        <w:gridCol w:w="1198"/>
        <w:gridCol w:w="1216"/>
      </w:tblGrid>
      <w:tr w:rsidR="00BA19D9" w:rsidRPr="00BA19D9" w:rsidTr="00BA19D9">
        <w:trPr>
          <w:cnfStyle w:val="100000000000"/>
          <w:trHeight w:val="300"/>
        </w:trPr>
        <w:tc>
          <w:tcPr>
            <w:cnfStyle w:val="001000000000"/>
            <w:tcW w:w="3452" w:type="dxa"/>
            <w:hideMark/>
          </w:tcPr>
          <w:p w:rsidR="00BA19D9" w:rsidRPr="00BA19D9" w:rsidRDefault="00BA19D9" w:rsidP="00BA19D9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</w:p>
        </w:tc>
        <w:tc>
          <w:tcPr>
            <w:tcW w:w="2416" w:type="dxa"/>
            <w:gridSpan w:val="2"/>
            <w:hideMark/>
          </w:tcPr>
          <w:p w:rsidR="00BA19D9" w:rsidRPr="00BA19D9" w:rsidRDefault="00BA19D9" w:rsidP="00BA19D9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color w:val="000000"/>
                <w:lang w:val="gl-ES"/>
              </w:rPr>
              <w:t>Número</w:t>
            </w:r>
          </w:p>
        </w:tc>
        <w:tc>
          <w:tcPr>
            <w:tcW w:w="2396" w:type="dxa"/>
            <w:gridSpan w:val="2"/>
            <w:hideMark/>
          </w:tcPr>
          <w:p w:rsidR="00BA19D9" w:rsidRPr="00BA19D9" w:rsidRDefault="00BA19D9" w:rsidP="00BA19D9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color w:val="000000"/>
                <w:lang w:val="gl-ES"/>
              </w:rPr>
              <w:t>Importe medio (euros)</w:t>
            </w:r>
          </w:p>
        </w:tc>
        <w:tc>
          <w:tcPr>
            <w:tcW w:w="1216" w:type="dxa"/>
            <w:noWrap/>
            <w:hideMark/>
          </w:tcPr>
          <w:p w:rsidR="00BA19D9" w:rsidRPr="00BA19D9" w:rsidRDefault="00BA19D9" w:rsidP="00BA19D9">
            <w:pPr>
              <w:cnfStyle w:val="1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</w:p>
        </w:tc>
      </w:tr>
      <w:tr w:rsidR="00BA19D9" w:rsidRPr="00BA19D9" w:rsidTr="00BA19D9">
        <w:trPr>
          <w:cnfStyle w:val="000000100000"/>
          <w:trHeight w:val="600"/>
        </w:trPr>
        <w:tc>
          <w:tcPr>
            <w:cnfStyle w:val="001000000000"/>
            <w:tcW w:w="3452" w:type="dxa"/>
            <w:hideMark/>
          </w:tcPr>
          <w:p w:rsidR="00BA19D9" w:rsidRPr="00BA19D9" w:rsidRDefault="00BA19D9" w:rsidP="00BA19D9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</w:p>
        </w:tc>
        <w:tc>
          <w:tcPr>
            <w:tcW w:w="1218" w:type="dxa"/>
            <w:hideMark/>
          </w:tcPr>
          <w:p w:rsidR="00BA19D9" w:rsidRPr="00BA19D9" w:rsidRDefault="00BA19D9" w:rsidP="00BA19D9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  <w:t>Homes</w:t>
            </w:r>
          </w:p>
        </w:tc>
        <w:tc>
          <w:tcPr>
            <w:tcW w:w="1198" w:type="dxa"/>
            <w:hideMark/>
          </w:tcPr>
          <w:p w:rsidR="00BA19D9" w:rsidRPr="00BA19D9" w:rsidRDefault="00BA19D9" w:rsidP="00BA19D9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  <w:t>Mulleres</w:t>
            </w:r>
          </w:p>
        </w:tc>
        <w:tc>
          <w:tcPr>
            <w:tcW w:w="1198" w:type="dxa"/>
            <w:hideMark/>
          </w:tcPr>
          <w:p w:rsidR="00BA19D9" w:rsidRPr="00BA19D9" w:rsidRDefault="00BA19D9" w:rsidP="00BA19D9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  <w:t>Homes</w:t>
            </w:r>
          </w:p>
        </w:tc>
        <w:tc>
          <w:tcPr>
            <w:tcW w:w="1198" w:type="dxa"/>
            <w:hideMark/>
          </w:tcPr>
          <w:p w:rsidR="00BA19D9" w:rsidRPr="00BA19D9" w:rsidRDefault="00BA19D9" w:rsidP="00BA19D9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  <w:t>Mulleres</w:t>
            </w:r>
          </w:p>
        </w:tc>
        <w:tc>
          <w:tcPr>
            <w:tcW w:w="1216" w:type="dxa"/>
            <w:hideMark/>
          </w:tcPr>
          <w:p w:rsidR="00BA19D9" w:rsidRPr="00BA19D9" w:rsidRDefault="00B533CD" w:rsidP="00BA19D9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  <w:t>Fenda</w:t>
            </w:r>
            <w:r w:rsidR="00BA19D9"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  <w:t xml:space="preserve"> pensió</w:t>
            </w:r>
            <w:r w:rsidR="00BA19D9" w:rsidRPr="00BA19D9"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  <w:t xml:space="preserve">ns </w:t>
            </w:r>
          </w:p>
        </w:tc>
      </w:tr>
      <w:tr w:rsidR="00BA19D9" w:rsidRPr="00BA19D9" w:rsidTr="00BA19D9">
        <w:trPr>
          <w:trHeight w:val="300"/>
        </w:trPr>
        <w:tc>
          <w:tcPr>
            <w:cnfStyle w:val="001000000000"/>
            <w:tcW w:w="3452" w:type="dxa"/>
            <w:hideMark/>
          </w:tcPr>
          <w:p w:rsidR="00BA19D9" w:rsidRPr="00BA19D9" w:rsidRDefault="00BA19D9" w:rsidP="00BA19D9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</w:p>
        </w:tc>
        <w:tc>
          <w:tcPr>
            <w:tcW w:w="4812" w:type="dxa"/>
            <w:gridSpan w:val="4"/>
            <w:hideMark/>
          </w:tcPr>
          <w:p w:rsidR="00BA19D9" w:rsidRPr="00BA19D9" w:rsidRDefault="00BA19D9" w:rsidP="00BA19D9">
            <w:pPr>
              <w:jc w:val="center"/>
              <w:cnfStyle w:val="000000000000"/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  <w:t>2016</w:t>
            </w:r>
          </w:p>
        </w:tc>
        <w:tc>
          <w:tcPr>
            <w:tcW w:w="1216" w:type="dxa"/>
            <w:noWrap/>
            <w:hideMark/>
          </w:tcPr>
          <w:p w:rsidR="00BA19D9" w:rsidRPr="00BA19D9" w:rsidRDefault="00BA19D9" w:rsidP="00BA19D9">
            <w:pPr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</w:p>
        </w:tc>
      </w:tr>
      <w:tr w:rsidR="00BA19D9" w:rsidRPr="00BA19D9" w:rsidTr="00BA19D9">
        <w:trPr>
          <w:cnfStyle w:val="000000100000"/>
          <w:trHeight w:val="300"/>
        </w:trPr>
        <w:tc>
          <w:tcPr>
            <w:cnfStyle w:val="001000000000"/>
            <w:tcW w:w="3452" w:type="dxa"/>
            <w:hideMark/>
          </w:tcPr>
          <w:p w:rsidR="00BA19D9" w:rsidRPr="00BA19D9" w:rsidRDefault="00BA19D9" w:rsidP="00BA19D9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color w:val="000000"/>
                <w:lang w:val="gl-ES"/>
              </w:rPr>
              <w:t>Total</w:t>
            </w:r>
          </w:p>
        </w:tc>
        <w:tc>
          <w:tcPr>
            <w:tcW w:w="1218" w:type="dxa"/>
            <w:hideMark/>
          </w:tcPr>
          <w:p w:rsidR="00BA19D9" w:rsidRPr="00BA19D9" w:rsidRDefault="00BA19D9" w:rsidP="00BA19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color w:val="000000"/>
                <w:lang w:val="gl-ES"/>
              </w:rPr>
              <w:t>351.638</w:t>
            </w:r>
          </w:p>
        </w:tc>
        <w:tc>
          <w:tcPr>
            <w:tcW w:w="1198" w:type="dxa"/>
            <w:hideMark/>
          </w:tcPr>
          <w:p w:rsidR="00BA19D9" w:rsidRPr="00BA19D9" w:rsidRDefault="00BA19D9" w:rsidP="00BA19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color w:val="000000"/>
                <w:lang w:val="gl-ES"/>
              </w:rPr>
              <w:t>404.955</w:t>
            </w:r>
          </w:p>
        </w:tc>
        <w:tc>
          <w:tcPr>
            <w:tcW w:w="1198" w:type="dxa"/>
            <w:hideMark/>
          </w:tcPr>
          <w:p w:rsidR="00BA19D9" w:rsidRPr="00BA19D9" w:rsidRDefault="00BA19D9" w:rsidP="00BA19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color w:val="000000"/>
                <w:lang w:val="gl-ES"/>
              </w:rPr>
              <w:t>958,03</w:t>
            </w:r>
          </w:p>
        </w:tc>
        <w:tc>
          <w:tcPr>
            <w:tcW w:w="1198" w:type="dxa"/>
            <w:hideMark/>
          </w:tcPr>
          <w:p w:rsidR="00BA19D9" w:rsidRPr="00BA19D9" w:rsidRDefault="00BA19D9" w:rsidP="00BA19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color w:val="000000"/>
                <w:lang w:val="gl-ES"/>
              </w:rPr>
              <w:t>605,45</w:t>
            </w:r>
          </w:p>
        </w:tc>
        <w:tc>
          <w:tcPr>
            <w:tcW w:w="1216" w:type="dxa"/>
            <w:noWrap/>
            <w:hideMark/>
          </w:tcPr>
          <w:p w:rsidR="00BA19D9" w:rsidRPr="00BA19D9" w:rsidRDefault="00BA19D9" w:rsidP="00BA19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color w:val="000000"/>
                <w:lang w:val="gl-ES"/>
              </w:rPr>
              <w:t>63,2</w:t>
            </w:r>
          </w:p>
        </w:tc>
      </w:tr>
      <w:tr w:rsidR="00BA19D9" w:rsidRPr="00BA19D9" w:rsidTr="00BA19D9">
        <w:trPr>
          <w:trHeight w:val="300"/>
        </w:trPr>
        <w:tc>
          <w:tcPr>
            <w:cnfStyle w:val="001000000000"/>
            <w:tcW w:w="3452" w:type="dxa"/>
            <w:hideMark/>
          </w:tcPr>
          <w:p w:rsidR="00BA19D9" w:rsidRPr="00BA19D9" w:rsidRDefault="00BA19D9" w:rsidP="00BA19D9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color w:val="000000"/>
                <w:lang w:val="gl-ES"/>
              </w:rPr>
              <w:t>Incapacidade permanente</w:t>
            </w:r>
          </w:p>
        </w:tc>
        <w:tc>
          <w:tcPr>
            <w:tcW w:w="1218" w:type="dxa"/>
            <w:hideMark/>
          </w:tcPr>
          <w:p w:rsidR="00BA19D9" w:rsidRPr="00BA19D9" w:rsidRDefault="00BA19D9" w:rsidP="00BA19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color w:val="000000"/>
                <w:lang w:val="gl-ES"/>
              </w:rPr>
              <w:t>46.518</w:t>
            </w:r>
          </w:p>
        </w:tc>
        <w:tc>
          <w:tcPr>
            <w:tcW w:w="1198" w:type="dxa"/>
            <w:hideMark/>
          </w:tcPr>
          <w:p w:rsidR="00BA19D9" w:rsidRPr="00BA19D9" w:rsidRDefault="00BA19D9" w:rsidP="00BA19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color w:val="000000"/>
                <w:lang w:val="gl-ES"/>
              </w:rPr>
              <w:t>22.846</w:t>
            </w:r>
          </w:p>
        </w:tc>
        <w:tc>
          <w:tcPr>
            <w:tcW w:w="1198" w:type="dxa"/>
            <w:hideMark/>
          </w:tcPr>
          <w:p w:rsidR="00BA19D9" w:rsidRPr="00BA19D9" w:rsidRDefault="00BA19D9" w:rsidP="00BA19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color w:val="000000"/>
                <w:lang w:val="gl-ES"/>
              </w:rPr>
              <w:t>881,82</w:t>
            </w:r>
          </w:p>
        </w:tc>
        <w:tc>
          <w:tcPr>
            <w:tcW w:w="1198" w:type="dxa"/>
            <w:hideMark/>
          </w:tcPr>
          <w:p w:rsidR="00BA19D9" w:rsidRPr="00BA19D9" w:rsidRDefault="00BA19D9" w:rsidP="00BA19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color w:val="000000"/>
                <w:lang w:val="gl-ES"/>
              </w:rPr>
              <w:t>719,52</w:t>
            </w:r>
          </w:p>
        </w:tc>
        <w:tc>
          <w:tcPr>
            <w:tcW w:w="1216" w:type="dxa"/>
            <w:noWrap/>
            <w:hideMark/>
          </w:tcPr>
          <w:p w:rsidR="00BA19D9" w:rsidRPr="00BA19D9" w:rsidRDefault="00BA19D9" w:rsidP="00BA19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color w:val="000000"/>
                <w:lang w:val="gl-ES"/>
              </w:rPr>
              <w:t>81,6</w:t>
            </w:r>
          </w:p>
        </w:tc>
      </w:tr>
      <w:tr w:rsidR="00BA19D9" w:rsidRPr="00BA19D9" w:rsidTr="00BA19D9">
        <w:trPr>
          <w:cnfStyle w:val="000000100000"/>
          <w:trHeight w:val="300"/>
        </w:trPr>
        <w:tc>
          <w:tcPr>
            <w:cnfStyle w:val="001000000000"/>
            <w:tcW w:w="3452" w:type="dxa"/>
            <w:hideMark/>
          </w:tcPr>
          <w:p w:rsidR="00BA19D9" w:rsidRPr="00BA19D9" w:rsidRDefault="00BA19D9" w:rsidP="00BA19D9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color w:val="000000"/>
                <w:lang w:val="gl-ES"/>
              </w:rPr>
              <w:t>Xubilación</w:t>
            </w:r>
          </w:p>
        </w:tc>
        <w:tc>
          <w:tcPr>
            <w:tcW w:w="1218" w:type="dxa"/>
            <w:hideMark/>
          </w:tcPr>
          <w:p w:rsidR="00BA19D9" w:rsidRPr="00BA19D9" w:rsidRDefault="00BA19D9" w:rsidP="00BA19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color w:val="000000"/>
                <w:lang w:val="gl-ES"/>
              </w:rPr>
              <w:t>271.375</w:t>
            </w:r>
          </w:p>
        </w:tc>
        <w:tc>
          <w:tcPr>
            <w:tcW w:w="1198" w:type="dxa"/>
            <w:hideMark/>
          </w:tcPr>
          <w:p w:rsidR="00BA19D9" w:rsidRPr="00BA19D9" w:rsidRDefault="00BA19D9" w:rsidP="00BA19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color w:val="000000"/>
                <w:lang w:val="gl-ES"/>
              </w:rPr>
              <w:t>198.862</w:t>
            </w:r>
          </w:p>
        </w:tc>
        <w:tc>
          <w:tcPr>
            <w:tcW w:w="1198" w:type="dxa"/>
            <w:hideMark/>
          </w:tcPr>
          <w:p w:rsidR="00BA19D9" w:rsidRPr="00BA19D9" w:rsidRDefault="00BA19D9" w:rsidP="00BA19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color w:val="000000"/>
                <w:lang w:val="gl-ES"/>
              </w:rPr>
              <w:t>1.041,41</w:t>
            </w:r>
          </w:p>
        </w:tc>
        <w:tc>
          <w:tcPr>
            <w:tcW w:w="1198" w:type="dxa"/>
            <w:hideMark/>
          </w:tcPr>
          <w:p w:rsidR="00BA19D9" w:rsidRPr="00BA19D9" w:rsidRDefault="00BA19D9" w:rsidP="00BA19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color w:val="000000"/>
                <w:lang w:val="gl-ES"/>
              </w:rPr>
              <w:t>646,76</w:t>
            </w:r>
          </w:p>
        </w:tc>
        <w:tc>
          <w:tcPr>
            <w:tcW w:w="1216" w:type="dxa"/>
            <w:noWrap/>
            <w:hideMark/>
          </w:tcPr>
          <w:p w:rsidR="00BA19D9" w:rsidRPr="00BA19D9" w:rsidRDefault="00BA19D9" w:rsidP="00BA19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color w:val="000000"/>
                <w:lang w:val="gl-ES"/>
              </w:rPr>
              <w:t>62,1</w:t>
            </w:r>
          </w:p>
        </w:tc>
      </w:tr>
      <w:tr w:rsidR="00BA19D9" w:rsidRPr="00BA19D9" w:rsidTr="00BA19D9">
        <w:trPr>
          <w:trHeight w:val="300"/>
        </w:trPr>
        <w:tc>
          <w:tcPr>
            <w:cnfStyle w:val="001000000000"/>
            <w:tcW w:w="3452" w:type="dxa"/>
            <w:hideMark/>
          </w:tcPr>
          <w:p w:rsidR="00BA19D9" w:rsidRPr="00BA19D9" w:rsidRDefault="00BA19D9" w:rsidP="00BA19D9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color w:val="000000"/>
                <w:lang w:val="gl-ES"/>
              </w:rPr>
              <w:t>Viuvez</w:t>
            </w:r>
          </w:p>
        </w:tc>
        <w:tc>
          <w:tcPr>
            <w:tcW w:w="1218" w:type="dxa"/>
            <w:hideMark/>
          </w:tcPr>
          <w:p w:rsidR="00BA19D9" w:rsidRPr="00BA19D9" w:rsidRDefault="00BA19D9" w:rsidP="00BA19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color w:val="000000"/>
                <w:lang w:val="gl-ES"/>
              </w:rPr>
              <w:t>18.920</w:t>
            </w:r>
          </w:p>
        </w:tc>
        <w:tc>
          <w:tcPr>
            <w:tcW w:w="1198" w:type="dxa"/>
            <w:hideMark/>
          </w:tcPr>
          <w:p w:rsidR="00BA19D9" w:rsidRPr="00BA19D9" w:rsidRDefault="00BA19D9" w:rsidP="00BA19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color w:val="000000"/>
                <w:lang w:val="gl-ES"/>
              </w:rPr>
              <w:t>168.051</w:t>
            </w:r>
          </w:p>
        </w:tc>
        <w:tc>
          <w:tcPr>
            <w:tcW w:w="1198" w:type="dxa"/>
            <w:hideMark/>
          </w:tcPr>
          <w:p w:rsidR="00BA19D9" w:rsidRPr="00BA19D9" w:rsidRDefault="00BA19D9" w:rsidP="00BA19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color w:val="000000"/>
                <w:lang w:val="gl-ES"/>
              </w:rPr>
              <w:t>399,72</w:t>
            </w:r>
          </w:p>
        </w:tc>
        <w:tc>
          <w:tcPr>
            <w:tcW w:w="1198" w:type="dxa"/>
            <w:hideMark/>
          </w:tcPr>
          <w:p w:rsidR="00BA19D9" w:rsidRPr="00BA19D9" w:rsidRDefault="00BA19D9" w:rsidP="00BA19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color w:val="000000"/>
                <w:lang w:val="gl-ES"/>
              </w:rPr>
              <w:t>559,55</w:t>
            </w:r>
          </w:p>
        </w:tc>
        <w:tc>
          <w:tcPr>
            <w:tcW w:w="1216" w:type="dxa"/>
            <w:noWrap/>
            <w:hideMark/>
          </w:tcPr>
          <w:p w:rsidR="00BA19D9" w:rsidRPr="00BA19D9" w:rsidRDefault="00BA19D9" w:rsidP="00BA19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color w:val="000000"/>
                <w:lang w:val="gl-ES"/>
              </w:rPr>
              <w:t>140,0</w:t>
            </w:r>
          </w:p>
        </w:tc>
      </w:tr>
      <w:tr w:rsidR="00BA19D9" w:rsidRPr="00BA19D9" w:rsidTr="00BA19D9">
        <w:trPr>
          <w:cnfStyle w:val="000000100000"/>
          <w:trHeight w:val="300"/>
        </w:trPr>
        <w:tc>
          <w:tcPr>
            <w:cnfStyle w:val="001000000000"/>
            <w:tcW w:w="3452" w:type="dxa"/>
            <w:hideMark/>
          </w:tcPr>
          <w:p w:rsidR="00BA19D9" w:rsidRPr="00BA19D9" w:rsidRDefault="00BA19D9" w:rsidP="00BA19D9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color w:val="000000"/>
                <w:lang w:val="gl-ES"/>
              </w:rPr>
              <w:t>Orfandade</w:t>
            </w:r>
          </w:p>
        </w:tc>
        <w:tc>
          <w:tcPr>
            <w:tcW w:w="1218" w:type="dxa"/>
            <w:hideMark/>
          </w:tcPr>
          <w:p w:rsidR="00BA19D9" w:rsidRPr="00BA19D9" w:rsidRDefault="00BA19D9" w:rsidP="00BA19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color w:val="000000"/>
                <w:lang w:val="gl-ES"/>
              </w:rPr>
              <w:t>12.679</w:t>
            </w:r>
          </w:p>
        </w:tc>
        <w:tc>
          <w:tcPr>
            <w:tcW w:w="1198" w:type="dxa"/>
            <w:hideMark/>
          </w:tcPr>
          <w:p w:rsidR="00BA19D9" w:rsidRPr="00BA19D9" w:rsidRDefault="00BA19D9" w:rsidP="00BA19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color w:val="000000"/>
                <w:lang w:val="gl-ES"/>
              </w:rPr>
              <w:t>11.211</w:t>
            </w:r>
          </w:p>
        </w:tc>
        <w:tc>
          <w:tcPr>
            <w:tcW w:w="1198" w:type="dxa"/>
            <w:hideMark/>
          </w:tcPr>
          <w:p w:rsidR="00BA19D9" w:rsidRPr="00BA19D9" w:rsidRDefault="00BA19D9" w:rsidP="00BA19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color w:val="000000"/>
                <w:lang w:val="gl-ES"/>
              </w:rPr>
              <w:t>370,99</w:t>
            </w:r>
          </w:p>
        </w:tc>
        <w:tc>
          <w:tcPr>
            <w:tcW w:w="1198" w:type="dxa"/>
            <w:hideMark/>
          </w:tcPr>
          <w:p w:rsidR="00BA19D9" w:rsidRPr="00BA19D9" w:rsidRDefault="00BA19D9" w:rsidP="00BA19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color w:val="000000"/>
                <w:lang w:val="gl-ES"/>
              </w:rPr>
              <w:t>369,55</w:t>
            </w:r>
          </w:p>
        </w:tc>
        <w:tc>
          <w:tcPr>
            <w:tcW w:w="1216" w:type="dxa"/>
            <w:noWrap/>
            <w:hideMark/>
          </w:tcPr>
          <w:p w:rsidR="00BA19D9" w:rsidRPr="00BA19D9" w:rsidRDefault="00BA19D9" w:rsidP="00BA19D9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color w:val="000000"/>
                <w:lang w:val="gl-ES"/>
              </w:rPr>
              <w:t>99,6</w:t>
            </w:r>
          </w:p>
        </w:tc>
      </w:tr>
      <w:tr w:rsidR="00BA19D9" w:rsidRPr="00BA19D9" w:rsidTr="00BA19D9">
        <w:trPr>
          <w:trHeight w:val="300"/>
        </w:trPr>
        <w:tc>
          <w:tcPr>
            <w:cnfStyle w:val="001000000000"/>
            <w:tcW w:w="3452" w:type="dxa"/>
            <w:hideMark/>
          </w:tcPr>
          <w:p w:rsidR="00BA19D9" w:rsidRPr="00BA19D9" w:rsidRDefault="00BA19D9" w:rsidP="00BA19D9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color w:val="000000"/>
                <w:lang w:val="gl-ES"/>
              </w:rPr>
              <w:t>Favor familiares</w:t>
            </w:r>
          </w:p>
        </w:tc>
        <w:tc>
          <w:tcPr>
            <w:tcW w:w="1218" w:type="dxa"/>
            <w:hideMark/>
          </w:tcPr>
          <w:p w:rsidR="00BA19D9" w:rsidRPr="00BA19D9" w:rsidRDefault="00BA19D9" w:rsidP="00BA19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color w:val="000000"/>
                <w:lang w:val="gl-ES"/>
              </w:rPr>
              <w:t>2.146</w:t>
            </w:r>
          </w:p>
        </w:tc>
        <w:tc>
          <w:tcPr>
            <w:tcW w:w="1198" w:type="dxa"/>
            <w:hideMark/>
          </w:tcPr>
          <w:p w:rsidR="00BA19D9" w:rsidRPr="00BA19D9" w:rsidRDefault="00BA19D9" w:rsidP="00BA19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color w:val="000000"/>
                <w:lang w:val="gl-ES"/>
              </w:rPr>
              <w:t>3.985</w:t>
            </w:r>
          </w:p>
        </w:tc>
        <w:tc>
          <w:tcPr>
            <w:tcW w:w="1198" w:type="dxa"/>
            <w:hideMark/>
          </w:tcPr>
          <w:p w:rsidR="00BA19D9" w:rsidRPr="00BA19D9" w:rsidRDefault="00BA19D9" w:rsidP="00BA19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color w:val="000000"/>
                <w:lang w:val="gl-ES"/>
              </w:rPr>
              <w:t>456,6</w:t>
            </w:r>
          </w:p>
        </w:tc>
        <w:tc>
          <w:tcPr>
            <w:tcW w:w="1198" w:type="dxa"/>
            <w:hideMark/>
          </w:tcPr>
          <w:p w:rsidR="00BA19D9" w:rsidRPr="00BA19D9" w:rsidRDefault="00BA19D9" w:rsidP="00BA19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color w:val="000000"/>
                <w:lang w:val="gl-ES"/>
              </w:rPr>
              <w:t>489,71</w:t>
            </w:r>
          </w:p>
        </w:tc>
        <w:tc>
          <w:tcPr>
            <w:tcW w:w="1216" w:type="dxa"/>
            <w:noWrap/>
            <w:hideMark/>
          </w:tcPr>
          <w:p w:rsidR="00BA19D9" w:rsidRPr="00BA19D9" w:rsidRDefault="00BA19D9" w:rsidP="00BA19D9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BA19D9">
              <w:rPr>
                <w:rFonts w:ascii="Calibri" w:eastAsia="Times New Roman" w:hAnsi="Calibri" w:cs="Times New Roman"/>
                <w:color w:val="000000"/>
                <w:lang w:val="gl-ES"/>
              </w:rPr>
              <w:t>107,3</w:t>
            </w:r>
          </w:p>
        </w:tc>
      </w:tr>
    </w:tbl>
    <w:p w:rsidR="0090628A" w:rsidRPr="00E14AC9" w:rsidRDefault="0090628A" w:rsidP="00A43D34">
      <w:pPr>
        <w:jc w:val="both"/>
        <w:rPr>
          <w:rFonts w:ascii="Arial" w:hAnsi="Arial" w:cs="Arial"/>
          <w:i/>
          <w:sz w:val="24"/>
          <w:szCs w:val="24"/>
          <w:lang w:val="gl-ES"/>
        </w:rPr>
      </w:pPr>
      <w:r w:rsidRPr="00E14AC9">
        <w:rPr>
          <w:rFonts w:ascii="Arial" w:hAnsi="Arial" w:cs="Arial"/>
          <w:i/>
          <w:sz w:val="24"/>
          <w:szCs w:val="24"/>
          <w:lang w:val="gl-ES"/>
        </w:rPr>
        <w:t>Fonte: IGE.</w:t>
      </w:r>
    </w:p>
    <w:p w:rsidR="00BA5C54" w:rsidRDefault="00991954" w:rsidP="00A43D34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A diferenza media entre as pensións das mulleres e as dos homes foi de 352,58 euros no ano 2016, último </w:t>
      </w:r>
      <w:r w:rsidR="00E14AC9">
        <w:rPr>
          <w:rFonts w:ascii="Arial" w:hAnsi="Arial" w:cs="Arial"/>
          <w:sz w:val="24"/>
          <w:szCs w:val="24"/>
          <w:lang w:val="gl-ES"/>
        </w:rPr>
        <w:t xml:space="preserve">do que se teñen datos, </w:t>
      </w:r>
      <w:r>
        <w:rPr>
          <w:rFonts w:ascii="Arial" w:hAnsi="Arial" w:cs="Arial"/>
          <w:sz w:val="24"/>
          <w:szCs w:val="24"/>
          <w:lang w:val="gl-ES"/>
        </w:rPr>
        <w:t xml:space="preserve">o que implica unha </w:t>
      </w:r>
      <w:r w:rsidR="00813D74">
        <w:rPr>
          <w:rFonts w:ascii="Arial" w:hAnsi="Arial" w:cs="Arial"/>
          <w:sz w:val="24"/>
          <w:szCs w:val="24"/>
          <w:lang w:val="gl-ES"/>
        </w:rPr>
        <w:t xml:space="preserve">fenda </w:t>
      </w:r>
      <w:r>
        <w:rPr>
          <w:rFonts w:ascii="Arial" w:hAnsi="Arial" w:cs="Arial"/>
          <w:sz w:val="24"/>
          <w:szCs w:val="24"/>
          <w:lang w:val="gl-ES"/>
        </w:rPr>
        <w:t>do 36,8%.</w:t>
      </w:r>
      <w:r w:rsidR="00813D74">
        <w:rPr>
          <w:rFonts w:ascii="Arial" w:hAnsi="Arial" w:cs="Arial"/>
          <w:sz w:val="24"/>
          <w:szCs w:val="24"/>
          <w:lang w:val="gl-ES"/>
        </w:rPr>
        <w:t xml:space="preserve"> No ano 2008 a fenda das pensión era de 35,4 puntos.</w:t>
      </w:r>
    </w:p>
    <w:p w:rsidR="00331819" w:rsidRPr="00331819" w:rsidRDefault="00331819" w:rsidP="00331819">
      <w:pPr>
        <w:jc w:val="center"/>
        <w:rPr>
          <w:rFonts w:ascii="Arial" w:hAnsi="Arial" w:cs="Arial"/>
          <w:b/>
          <w:sz w:val="24"/>
          <w:szCs w:val="24"/>
          <w:lang w:val="gl-ES"/>
        </w:rPr>
      </w:pPr>
      <w:r w:rsidRPr="00331819">
        <w:rPr>
          <w:rFonts w:ascii="Arial" w:hAnsi="Arial" w:cs="Arial"/>
          <w:b/>
          <w:sz w:val="24"/>
          <w:szCs w:val="24"/>
          <w:lang w:val="gl-ES"/>
        </w:rPr>
        <w:t>A fenda das pensión</w:t>
      </w:r>
      <w:r w:rsidR="00E14AC9">
        <w:rPr>
          <w:rFonts w:ascii="Arial" w:hAnsi="Arial" w:cs="Arial"/>
          <w:b/>
          <w:sz w:val="24"/>
          <w:szCs w:val="24"/>
          <w:lang w:val="gl-ES"/>
        </w:rPr>
        <w:t>s</w:t>
      </w:r>
      <w:r w:rsidRPr="00331819">
        <w:rPr>
          <w:rFonts w:ascii="Arial" w:hAnsi="Arial" w:cs="Arial"/>
          <w:b/>
          <w:sz w:val="24"/>
          <w:szCs w:val="24"/>
          <w:lang w:val="gl-ES"/>
        </w:rPr>
        <w:t xml:space="preserve"> é do 35,4%</w:t>
      </w:r>
    </w:p>
    <w:p w:rsidR="00991954" w:rsidRDefault="00991954" w:rsidP="00A43D34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Se analizamos por tipo de pensión, o aban</w:t>
      </w:r>
      <w:r w:rsidR="00E14AC9">
        <w:rPr>
          <w:rFonts w:ascii="Arial" w:hAnsi="Arial" w:cs="Arial"/>
          <w:sz w:val="24"/>
          <w:szCs w:val="24"/>
          <w:lang w:val="gl-ES"/>
        </w:rPr>
        <w:t>o é inmenso. A</w:t>
      </w:r>
      <w:r>
        <w:rPr>
          <w:rFonts w:ascii="Arial" w:hAnsi="Arial" w:cs="Arial"/>
          <w:sz w:val="24"/>
          <w:szCs w:val="24"/>
          <w:lang w:val="gl-ES"/>
        </w:rPr>
        <w:t xml:space="preserve"> maior </w:t>
      </w:r>
      <w:r w:rsidR="00B533CD">
        <w:rPr>
          <w:rFonts w:ascii="Arial" w:hAnsi="Arial" w:cs="Arial"/>
          <w:sz w:val="24"/>
          <w:szCs w:val="24"/>
          <w:lang w:val="gl-ES"/>
        </w:rPr>
        <w:t>fenda</w:t>
      </w:r>
      <w:r>
        <w:rPr>
          <w:rFonts w:ascii="Arial" w:hAnsi="Arial" w:cs="Arial"/>
          <w:sz w:val="24"/>
          <w:szCs w:val="24"/>
          <w:lang w:val="gl-ES"/>
        </w:rPr>
        <w:t xml:space="preserve"> xérana as </w:t>
      </w:r>
      <w:r w:rsidR="002519FA">
        <w:rPr>
          <w:rFonts w:ascii="Arial" w:hAnsi="Arial" w:cs="Arial"/>
          <w:sz w:val="24"/>
          <w:szCs w:val="24"/>
          <w:lang w:val="gl-ES"/>
        </w:rPr>
        <w:t xml:space="preserve">pensión </w:t>
      </w:r>
      <w:r w:rsidR="00E14AC9">
        <w:rPr>
          <w:rFonts w:ascii="Arial" w:hAnsi="Arial" w:cs="Arial"/>
          <w:sz w:val="24"/>
          <w:szCs w:val="24"/>
          <w:lang w:val="gl-ES"/>
        </w:rPr>
        <w:t xml:space="preserve">de </w:t>
      </w:r>
      <w:r w:rsidR="002519FA">
        <w:rPr>
          <w:rFonts w:ascii="Arial" w:hAnsi="Arial" w:cs="Arial"/>
          <w:sz w:val="24"/>
          <w:szCs w:val="24"/>
          <w:lang w:val="gl-ES"/>
        </w:rPr>
        <w:t xml:space="preserve">xubilación (37,9%), </w:t>
      </w:r>
      <w:r>
        <w:rPr>
          <w:rFonts w:ascii="Arial" w:hAnsi="Arial" w:cs="Arial"/>
          <w:sz w:val="24"/>
          <w:szCs w:val="24"/>
          <w:lang w:val="gl-ES"/>
        </w:rPr>
        <w:t>394</w:t>
      </w:r>
      <w:r w:rsidR="002519FA">
        <w:rPr>
          <w:rFonts w:ascii="Arial" w:hAnsi="Arial" w:cs="Arial"/>
          <w:sz w:val="24"/>
          <w:szCs w:val="24"/>
          <w:lang w:val="gl-ES"/>
        </w:rPr>
        <w:t>,</w:t>
      </w:r>
      <w:r>
        <w:rPr>
          <w:rFonts w:ascii="Arial" w:hAnsi="Arial" w:cs="Arial"/>
          <w:sz w:val="24"/>
          <w:szCs w:val="24"/>
          <w:lang w:val="gl-ES"/>
        </w:rPr>
        <w:t xml:space="preserve">65 euros </w:t>
      </w:r>
      <w:r w:rsidR="002519FA">
        <w:rPr>
          <w:rFonts w:ascii="Arial" w:hAnsi="Arial" w:cs="Arial"/>
          <w:sz w:val="24"/>
          <w:szCs w:val="24"/>
          <w:lang w:val="gl-ES"/>
        </w:rPr>
        <w:t>menos brutos</w:t>
      </w:r>
      <w:r w:rsidR="004E08C4">
        <w:rPr>
          <w:rFonts w:ascii="Arial" w:hAnsi="Arial" w:cs="Arial"/>
          <w:sz w:val="24"/>
          <w:szCs w:val="24"/>
          <w:lang w:val="gl-ES"/>
        </w:rPr>
        <w:t xml:space="preserve"> ao </w:t>
      </w:r>
      <w:r w:rsidR="002519FA">
        <w:rPr>
          <w:rFonts w:ascii="Arial" w:hAnsi="Arial" w:cs="Arial"/>
          <w:sz w:val="24"/>
          <w:szCs w:val="24"/>
          <w:lang w:val="gl-ES"/>
        </w:rPr>
        <w:t xml:space="preserve">mes, </w:t>
      </w:r>
      <w:r w:rsidR="00E14AC9">
        <w:rPr>
          <w:rFonts w:ascii="Arial" w:hAnsi="Arial" w:cs="Arial"/>
          <w:sz w:val="24"/>
          <w:szCs w:val="24"/>
          <w:lang w:val="gl-ES"/>
        </w:rPr>
        <w:t>P</w:t>
      </w:r>
      <w:r w:rsidR="002519FA">
        <w:rPr>
          <w:rFonts w:ascii="Arial" w:hAnsi="Arial" w:cs="Arial"/>
          <w:sz w:val="24"/>
          <w:szCs w:val="24"/>
          <w:lang w:val="gl-ES"/>
        </w:rPr>
        <w:t>ola contra</w:t>
      </w:r>
      <w:r w:rsidR="00E14AC9">
        <w:rPr>
          <w:rFonts w:ascii="Arial" w:hAnsi="Arial" w:cs="Arial"/>
          <w:sz w:val="24"/>
          <w:szCs w:val="24"/>
          <w:lang w:val="gl-ES"/>
        </w:rPr>
        <w:t>,</w:t>
      </w:r>
      <w:r w:rsidR="002519FA">
        <w:rPr>
          <w:rFonts w:ascii="Arial" w:hAnsi="Arial" w:cs="Arial"/>
          <w:sz w:val="24"/>
          <w:szCs w:val="24"/>
          <w:lang w:val="gl-ES"/>
        </w:rPr>
        <w:t xml:space="preserve"> nas pensión</w:t>
      </w:r>
      <w:r w:rsidR="00E14AC9">
        <w:rPr>
          <w:rFonts w:ascii="Arial" w:hAnsi="Arial" w:cs="Arial"/>
          <w:sz w:val="24"/>
          <w:szCs w:val="24"/>
          <w:lang w:val="gl-ES"/>
        </w:rPr>
        <w:t>s</w:t>
      </w:r>
      <w:r w:rsidR="002519FA">
        <w:rPr>
          <w:rFonts w:ascii="Arial" w:hAnsi="Arial" w:cs="Arial"/>
          <w:sz w:val="24"/>
          <w:szCs w:val="24"/>
          <w:lang w:val="gl-ES"/>
        </w:rPr>
        <w:t xml:space="preserve"> </w:t>
      </w:r>
      <w:r w:rsidR="00E14AC9">
        <w:rPr>
          <w:rFonts w:ascii="Arial" w:hAnsi="Arial" w:cs="Arial"/>
          <w:sz w:val="24"/>
          <w:szCs w:val="24"/>
          <w:lang w:val="gl-ES"/>
        </w:rPr>
        <w:t xml:space="preserve">de </w:t>
      </w:r>
      <w:r w:rsidR="002519FA">
        <w:rPr>
          <w:rFonts w:ascii="Arial" w:hAnsi="Arial" w:cs="Arial"/>
          <w:sz w:val="24"/>
          <w:szCs w:val="24"/>
          <w:lang w:val="gl-ES"/>
        </w:rPr>
        <w:t xml:space="preserve">viuvez son un 40% máis </w:t>
      </w:r>
      <w:r w:rsidR="009F649E">
        <w:rPr>
          <w:rFonts w:ascii="Arial" w:hAnsi="Arial" w:cs="Arial"/>
          <w:sz w:val="24"/>
          <w:szCs w:val="24"/>
          <w:lang w:val="gl-ES"/>
        </w:rPr>
        <w:t xml:space="preserve">altas as das mulleres, </w:t>
      </w:r>
      <w:r w:rsidR="00E14AC9">
        <w:rPr>
          <w:rFonts w:ascii="Arial" w:hAnsi="Arial" w:cs="Arial"/>
          <w:sz w:val="24"/>
          <w:szCs w:val="24"/>
          <w:lang w:val="gl-ES"/>
        </w:rPr>
        <w:t xml:space="preserve">o cal é </w:t>
      </w:r>
      <w:r w:rsidR="009F649E">
        <w:rPr>
          <w:rFonts w:ascii="Arial" w:hAnsi="Arial" w:cs="Arial"/>
          <w:sz w:val="24"/>
          <w:szCs w:val="24"/>
          <w:lang w:val="gl-ES"/>
        </w:rPr>
        <w:t>lóxico</w:t>
      </w:r>
      <w:r w:rsidR="004E08C4">
        <w:rPr>
          <w:rFonts w:ascii="Arial" w:hAnsi="Arial" w:cs="Arial"/>
          <w:sz w:val="24"/>
          <w:szCs w:val="24"/>
          <w:lang w:val="gl-ES"/>
        </w:rPr>
        <w:t xml:space="preserve"> ao </w:t>
      </w:r>
      <w:r w:rsidR="009F649E">
        <w:rPr>
          <w:rFonts w:ascii="Arial" w:hAnsi="Arial" w:cs="Arial"/>
          <w:sz w:val="24"/>
          <w:szCs w:val="24"/>
          <w:lang w:val="gl-ES"/>
        </w:rPr>
        <w:t>ser as bases de cotización dos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 w:rsidR="009F649E">
        <w:rPr>
          <w:rFonts w:ascii="Arial" w:hAnsi="Arial" w:cs="Arial"/>
          <w:sz w:val="24"/>
          <w:szCs w:val="24"/>
          <w:lang w:val="gl-ES"/>
        </w:rPr>
        <w:t>hom</w:t>
      </w:r>
      <w:r w:rsidR="00813D74">
        <w:rPr>
          <w:rFonts w:ascii="Arial" w:hAnsi="Arial" w:cs="Arial"/>
          <w:sz w:val="24"/>
          <w:szCs w:val="24"/>
          <w:lang w:val="gl-ES"/>
        </w:rPr>
        <w:t>es a base de cálculo d</w:t>
      </w:r>
      <w:r w:rsidR="00E14AC9">
        <w:rPr>
          <w:rFonts w:ascii="Arial" w:hAnsi="Arial" w:cs="Arial"/>
          <w:sz w:val="24"/>
          <w:szCs w:val="24"/>
          <w:lang w:val="gl-ES"/>
        </w:rPr>
        <w:t>estas</w:t>
      </w:r>
      <w:r w:rsidR="00813D74">
        <w:rPr>
          <w:rFonts w:ascii="Arial" w:hAnsi="Arial" w:cs="Arial"/>
          <w:sz w:val="24"/>
          <w:szCs w:val="24"/>
          <w:lang w:val="gl-ES"/>
        </w:rPr>
        <w:t xml:space="preserve">, </w:t>
      </w:r>
      <w:r w:rsidR="00E14AC9">
        <w:rPr>
          <w:rFonts w:ascii="Arial" w:hAnsi="Arial" w:cs="Arial"/>
          <w:sz w:val="24"/>
          <w:szCs w:val="24"/>
          <w:lang w:val="gl-ES"/>
        </w:rPr>
        <w:t>e a</w:t>
      </w:r>
      <w:r w:rsidR="00813D74">
        <w:rPr>
          <w:rFonts w:ascii="Arial" w:hAnsi="Arial" w:cs="Arial"/>
          <w:sz w:val="24"/>
          <w:szCs w:val="24"/>
          <w:lang w:val="gl-ES"/>
        </w:rPr>
        <w:t>o ter</w:t>
      </w:r>
      <w:r w:rsidR="00E14AC9">
        <w:rPr>
          <w:rFonts w:ascii="Arial" w:hAnsi="Arial" w:cs="Arial"/>
          <w:sz w:val="24"/>
          <w:szCs w:val="24"/>
          <w:lang w:val="gl-ES"/>
        </w:rPr>
        <w:t>en</w:t>
      </w:r>
      <w:r w:rsidR="00813D74">
        <w:rPr>
          <w:rFonts w:ascii="Arial" w:hAnsi="Arial" w:cs="Arial"/>
          <w:sz w:val="24"/>
          <w:szCs w:val="24"/>
          <w:lang w:val="gl-ES"/>
        </w:rPr>
        <w:t xml:space="preserve"> unhas bases de cotización máis altas xeran pensións maiores e as mulleres </w:t>
      </w:r>
      <w:r w:rsidR="00E14AC9">
        <w:rPr>
          <w:rFonts w:ascii="Arial" w:hAnsi="Arial" w:cs="Arial"/>
          <w:sz w:val="24"/>
          <w:szCs w:val="24"/>
          <w:lang w:val="gl-ES"/>
        </w:rPr>
        <w:t>a</w:t>
      </w:r>
      <w:r w:rsidR="00813D74">
        <w:rPr>
          <w:rFonts w:ascii="Arial" w:hAnsi="Arial" w:cs="Arial"/>
          <w:sz w:val="24"/>
          <w:szCs w:val="24"/>
          <w:lang w:val="gl-ES"/>
        </w:rPr>
        <w:t>o ter</w:t>
      </w:r>
      <w:r w:rsidR="00E14AC9">
        <w:rPr>
          <w:rFonts w:ascii="Arial" w:hAnsi="Arial" w:cs="Arial"/>
          <w:sz w:val="24"/>
          <w:szCs w:val="24"/>
          <w:lang w:val="gl-ES"/>
        </w:rPr>
        <w:t>en</w:t>
      </w:r>
      <w:r w:rsidR="00813D74">
        <w:rPr>
          <w:rFonts w:ascii="Arial" w:hAnsi="Arial" w:cs="Arial"/>
          <w:sz w:val="24"/>
          <w:szCs w:val="24"/>
          <w:lang w:val="gl-ES"/>
        </w:rPr>
        <w:t xml:space="preserve"> unhas bases menores xeran pensión máis baixas.</w:t>
      </w:r>
    </w:p>
    <w:p w:rsidR="009F649E" w:rsidRDefault="00E14AC9" w:rsidP="00A43D34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En canto ás </w:t>
      </w:r>
      <w:r w:rsidR="009F649E">
        <w:rPr>
          <w:rFonts w:ascii="Arial" w:hAnsi="Arial" w:cs="Arial"/>
          <w:sz w:val="24"/>
          <w:szCs w:val="24"/>
          <w:lang w:val="gl-ES"/>
        </w:rPr>
        <w:t>de orfandade e a favor de familiares,</w:t>
      </w:r>
      <w:r w:rsidR="004E08C4">
        <w:rPr>
          <w:rFonts w:ascii="Arial" w:hAnsi="Arial" w:cs="Arial"/>
          <w:sz w:val="24"/>
          <w:szCs w:val="24"/>
          <w:lang w:val="gl-ES"/>
        </w:rPr>
        <w:t xml:space="preserve"> ao </w:t>
      </w:r>
      <w:r w:rsidR="009F649E">
        <w:rPr>
          <w:rFonts w:ascii="Arial" w:hAnsi="Arial" w:cs="Arial"/>
          <w:sz w:val="24"/>
          <w:szCs w:val="24"/>
          <w:lang w:val="gl-ES"/>
        </w:rPr>
        <w:t xml:space="preserve">tratarse de cantidades fixas, </w:t>
      </w:r>
      <w:r>
        <w:rPr>
          <w:rFonts w:ascii="Arial" w:hAnsi="Arial" w:cs="Arial"/>
          <w:sz w:val="24"/>
          <w:szCs w:val="24"/>
          <w:lang w:val="gl-ES"/>
        </w:rPr>
        <w:t>só</w:t>
      </w:r>
      <w:r w:rsidR="009F649E">
        <w:rPr>
          <w:rFonts w:ascii="Arial" w:hAnsi="Arial" w:cs="Arial"/>
          <w:sz w:val="24"/>
          <w:szCs w:val="24"/>
          <w:lang w:val="gl-ES"/>
        </w:rPr>
        <w:t xml:space="preserve"> varían en función do número de membros</w:t>
      </w:r>
      <w:r>
        <w:rPr>
          <w:rFonts w:ascii="Arial" w:hAnsi="Arial" w:cs="Arial"/>
          <w:sz w:val="24"/>
          <w:szCs w:val="24"/>
          <w:lang w:val="gl-ES"/>
        </w:rPr>
        <w:t>, polo que</w:t>
      </w:r>
      <w:r w:rsidR="009F649E">
        <w:rPr>
          <w:rFonts w:ascii="Arial" w:hAnsi="Arial" w:cs="Arial"/>
          <w:sz w:val="24"/>
          <w:szCs w:val="24"/>
          <w:lang w:val="gl-ES"/>
        </w:rPr>
        <w:t xml:space="preserve"> apenas se dan diferenzas.</w:t>
      </w:r>
    </w:p>
    <w:p w:rsidR="00991954" w:rsidRDefault="00C44769" w:rsidP="00A43D34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A estas pensións tan baixas e tan distintas ás dos homes chégase logo de anos con bases de cotizaci</w:t>
      </w:r>
      <w:r w:rsidR="00E14AC9">
        <w:rPr>
          <w:rFonts w:ascii="Arial" w:hAnsi="Arial" w:cs="Arial"/>
          <w:sz w:val="24"/>
          <w:szCs w:val="24"/>
          <w:lang w:val="gl-ES"/>
        </w:rPr>
        <w:t xml:space="preserve">ón máis baixos e cun menor número de </w:t>
      </w:r>
      <w:r>
        <w:rPr>
          <w:rFonts w:ascii="Arial" w:hAnsi="Arial" w:cs="Arial"/>
          <w:sz w:val="24"/>
          <w:szCs w:val="24"/>
          <w:lang w:val="gl-ES"/>
        </w:rPr>
        <w:t>anos cotizados.</w:t>
      </w:r>
    </w:p>
    <w:p w:rsidR="00331819" w:rsidRDefault="00331819" w:rsidP="00A43D34">
      <w:pPr>
        <w:jc w:val="both"/>
        <w:rPr>
          <w:rFonts w:ascii="Arial" w:hAnsi="Arial" w:cs="Arial"/>
          <w:sz w:val="24"/>
          <w:szCs w:val="24"/>
          <w:lang w:val="gl-ES"/>
        </w:rPr>
      </w:pPr>
    </w:p>
    <w:p w:rsidR="007D4C1D" w:rsidRDefault="00C44769" w:rsidP="00A43D34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lastRenderedPageBreak/>
        <w:t>Bases de cotización media segundo sexo.</w:t>
      </w:r>
    </w:p>
    <w:tbl>
      <w:tblPr>
        <w:tblStyle w:val="Sombreadoclaro-nfasis4"/>
        <w:tblW w:w="0" w:type="auto"/>
        <w:tblLook w:val="04A0"/>
      </w:tblPr>
      <w:tblGrid>
        <w:gridCol w:w="1982"/>
        <w:gridCol w:w="718"/>
        <w:gridCol w:w="851"/>
        <w:gridCol w:w="1022"/>
        <w:gridCol w:w="1653"/>
      </w:tblGrid>
      <w:tr w:rsidR="008500B7" w:rsidRPr="008500B7" w:rsidTr="008500B7">
        <w:trPr>
          <w:cnfStyle w:val="100000000000"/>
          <w:trHeight w:val="300"/>
        </w:trPr>
        <w:tc>
          <w:tcPr>
            <w:cnfStyle w:val="001000000000"/>
            <w:tcW w:w="0" w:type="auto"/>
            <w:hideMark/>
          </w:tcPr>
          <w:p w:rsidR="008500B7" w:rsidRPr="008500B7" w:rsidRDefault="008500B7" w:rsidP="008500B7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</w:p>
        </w:tc>
        <w:tc>
          <w:tcPr>
            <w:tcW w:w="0" w:type="auto"/>
            <w:gridSpan w:val="3"/>
            <w:hideMark/>
          </w:tcPr>
          <w:p w:rsidR="008500B7" w:rsidRPr="008500B7" w:rsidRDefault="008500B7" w:rsidP="008500B7">
            <w:pPr>
              <w:jc w:val="center"/>
              <w:cnfStyle w:val="1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8500B7">
              <w:rPr>
                <w:rFonts w:ascii="Calibri" w:eastAsia="Times New Roman" w:hAnsi="Calibri" w:cs="Times New Roman"/>
                <w:color w:val="000000"/>
                <w:lang w:val="gl-ES"/>
              </w:rPr>
              <w:t>Media</w:t>
            </w:r>
          </w:p>
        </w:tc>
        <w:tc>
          <w:tcPr>
            <w:tcW w:w="0" w:type="auto"/>
            <w:noWrap/>
            <w:hideMark/>
          </w:tcPr>
          <w:p w:rsidR="008500B7" w:rsidRPr="008500B7" w:rsidRDefault="008500B7" w:rsidP="008500B7">
            <w:pPr>
              <w:cnfStyle w:val="1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</w:p>
        </w:tc>
      </w:tr>
      <w:tr w:rsidR="008500B7" w:rsidRPr="008500B7" w:rsidTr="008500B7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8500B7" w:rsidRPr="008500B7" w:rsidRDefault="008500B7" w:rsidP="008500B7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8500B7">
              <w:rPr>
                <w:rFonts w:ascii="Calibri" w:eastAsia="Times New Roman" w:hAnsi="Calibri" w:cs="Times New Roman"/>
                <w:color w:val="000000"/>
                <w:lang w:val="gl-ES"/>
              </w:rPr>
              <w:t>Bases de cotización</w:t>
            </w:r>
          </w:p>
        </w:tc>
        <w:tc>
          <w:tcPr>
            <w:tcW w:w="0" w:type="auto"/>
            <w:hideMark/>
          </w:tcPr>
          <w:p w:rsidR="008500B7" w:rsidRPr="008500B7" w:rsidRDefault="008500B7" w:rsidP="008500B7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</w:pPr>
            <w:r w:rsidRPr="008500B7"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  <w:t>Total</w:t>
            </w:r>
          </w:p>
        </w:tc>
        <w:tc>
          <w:tcPr>
            <w:tcW w:w="0" w:type="auto"/>
            <w:hideMark/>
          </w:tcPr>
          <w:p w:rsidR="008500B7" w:rsidRPr="008500B7" w:rsidRDefault="008500B7" w:rsidP="008500B7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</w:pPr>
            <w:r w:rsidRPr="008500B7"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  <w:t>Homes</w:t>
            </w:r>
          </w:p>
        </w:tc>
        <w:tc>
          <w:tcPr>
            <w:tcW w:w="0" w:type="auto"/>
            <w:hideMark/>
          </w:tcPr>
          <w:p w:rsidR="008500B7" w:rsidRPr="008500B7" w:rsidRDefault="008500B7" w:rsidP="008500B7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</w:pPr>
            <w:r w:rsidRPr="008500B7"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  <w:t>Mulleres</w:t>
            </w:r>
          </w:p>
        </w:tc>
        <w:tc>
          <w:tcPr>
            <w:tcW w:w="0" w:type="auto"/>
            <w:noWrap/>
            <w:hideMark/>
          </w:tcPr>
          <w:p w:rsidR="008500B7" w:rsidRPr="008500B7" w:rsidRDefault="008500B7" w:rsidP="008500B7">
            <w:pPr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</w:p>
        </w:tc>
      </w:tr>
      <w:tr w:rsidR="008500B7" w:rsidRPr="008500B7" w:rsidTr="008500B7">
        <w:trPr>
          <w:trHeight w:val="300"/>
        </w:trPr>
        <w:tc>
          <w:tcPr>
            <w:cnfStyle w:val="001000000000"/>
            <w:tcW w:w="0" w:type="auto"/>
            <w:hideMark/>
          </w:tcPr>
          <w:p w:rsidR="008500B7" w:rsidRPr="008500B7" w:rsidRDefault="008500B7" w:rsidP="008500B7">
            <w:pPr>
              <w:jc w:val="right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8500B7">
              <w:rPr>
                <w:rFonts w:ascii="Calibri" w:eastAsia="Times New Roman" w:hAnsi="Calibri" w:cs="Times New Roman"/>
                <w:color w:val="000000"/>
                <w:lang w:val="gl-ES"/>
              </w:rPr>
              <w:t>2015</w:t>
            </w:r>
          </w:p>
        </w:tc>
        <w:tc>
          <w:tcPr>
            <w:tcW w:w="0" w:type="auto"/>
            <w:noWrap/>
            <w:hideMark/>
          </w:tcPr>
          <w:p w:rsidR="008500B7" w:rsidRPr="008500B7" w:rsidRDefault="008500B7" w:rsidP="008500B7">
            <w:pPr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</w:p>
        </w:tc>
        <w:tc>
          <w:tcPr>
            <w:tcW w:w="0" w:type="auto"/>
            <w:noWrap/>
            <w:hideMark/>
          </w:tcPr>
          <w:p w:rsidR="008500B7" w:rsidRPr="008500B7" w:rsidRDefault="008500B7" w:rsidP="008500B7">
            <w:pPr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</w:p>
        </w:tc>
        <w:tc>
          <w:tcPr>
            <w:tcW w:w="0" w:type="auto"/>
            <w:noWrap/>
            <w:hideMark/>
          </w:tcPr>
          <w:p w:rsidR="008500B7" w:rsidRPr="008500B7" w:rsidRDefault="008500B7" w:rsidP="008500B7">
            <w:pPr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</w:p>
        </w:tc>
        <w:tc>
          <w:tcPr>
            <w:tcW w:w="0" w:type="auto"/>
            <w:noWrap/>
            <w:hideMark/>
          </w:tcPr>
          <w:p w:rsidR="008500B7" w:rsidRPr="008500B7" w:rsidRDefault="008500B7" w:rsidP="008500B7">
            <w:pPr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8500B7">
              <w:rPr>
                <w:rFonts w:ascii="Calibri" w:eastAsia="Times New Roman" w:hAnsi="Calibri" w:cs="Times New Roman"/>
                <w:color w:val="000000"/>
                <w:lang w:val="gl-ES"/>
              </w:rPr>
              <w:t>% muller/ home</w:t>
            </w:r>
          </w:p>
        </w:tc>
      </w:tr>
      <w:tr w:rsidR="008500B7" w:rsidRPr="008500B7" w:rsidTr="008500B7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8500B7" w:rsidRPr="008500B7" w:rsidRDefault="00724403" w:rsidP="008500B7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  </w:t>
            </w:r>
            <w:r w:rsidR="008500B7" w:rsidRPr="008500B7">
              <w:rPr>
                <w:rFonts w:ascii="Calibri" w:eastAsia="Times New Roman" w:hAnsi="Calibri" w:cs="Times New Roman"/>
                <w:color w:val="000000"/>
                <w:lang w:val="gl-ES"/>
              </w:rPr>
              <w:t>Total</w:t>
            </w:r>
          </w:p>
        </w:tc>
        <w:tc>
          <w:tcPr>
            <w:tcW w:w="0" w:type="auto"/>
            <w:hideMark/>
          </w:tcPr>
          <w:p w:rsidR="008500B7" w:rsidRPr="008500B7" w:rsidRDefault="008500B7" w:rsidP="008500B7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8500B7">
              <w:rPr>
                <w:rFonts w:ascii="Calibri" w:eastAsia="Times New Roman" w:hAnsi="Calibri" w:cs="Times New Roman"/>
                <w:color w:val="000000"/>
                <w:lang w:val="gl-ES"/>
              </w:rPr>
              <w:t>1.499</w:t>
            </w:r>
          </w:p>
        </w:tc>
        <w:tc>
          <w:tcPr>
            <w:tcW w:w="0" w:type="auto"/>
            <w:hideMark/>
          </w:tcPr>
          <w:p w:rsidR="008500B7" w:rsidRPr="008500B7" w:rsidRDefault="008500B7" w:rsidP="008500B7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8500B7">
              <w:rPr>
                <w:rFonts w:ascii="Calibri" w:eastAsia="Times New Roman" w:hAnsi="Calibri" w:cs="Times New Roman"/>
                <w:color w:val="000000"/>
                <w:lang w:val="gl-ES"/>
              </w:rPr>
              <w:t>1.662</w:t>
            </w:r>
          </w:p>
        </w:tc>
        <w:tc>
          <w:tcPr>
            <w:tcW w:w="0" w:type="auto"/>
            <w:hideMark/>
          </w:tcPr>
          <w:p w:rsidR="008500B7" w:rsidRPr="008500B7" w:rsidRDefault="008500B7" w:rsidP="008500B7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8500B7">
              <w:rPr>
                <w:rFonts w:ascii="Calibri" w:eastAsia="Times New Roman" w:hAnsi="Calibri" w:cs="Times New Roman"/>
                <w:color w:val="000000"/>
                <w:lang w:val="gl-ES"/>
              </w:rPr>
              <w:t>1.341</w:t>
            </w:r>
          </w:p>
        </w:tc>
        <w:tc>
          <w:tcPr>
            <w:tcW w:w="0" w:type="auto"/>
            <w:noWrap/>
            <w:hideMark/>
          </w:tcPr>
          <w:p w:rsidR="008500B7" w:rsidRPr="008500B7" w:rsidRDefault="008500B7" w:rsidP="008500B7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8500B7">
              <w:rPr>
                <w:rFonts w:ascii="Calibri" w:eastAsia="Times New Roman" w:hAnsi="Calibri" w:cs="Times New Roman"/>
                <w:color w:val="000000"/>
                <w:lang w:val="gl-ES"/>
              </w:rPr>
              <w:t>80,7</w:t>
            </w:r>
          </w:p>
        </w:tc>
      </w:tr>
      <w:tr w:rsidR="008500B7" w:rsidRPr="008500B7" w:rsidTr="008500B7">
        <w:trPr>
          <w:trHeight w:val="300"/>
        </w:trPr>
        <w:tc>
          <w:tcPr>
            <w:cnfStyle w:val="001000000000"/>
            <w:tcW w:w="0" w:type="auto"/>
            <w:hideMark/>
          </w:tcPr>
          <w:p w:rsidR="008500B7" w:rsidRPr="008500B7" w:rsidRDefault="00724403" w:rsidP="008500B7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  </w:t>
            </w:r>
            <w:r w:rsidR="008500B7" w:rsidRPr="008500B7">
              <w:rPr>
                <w:rFonts w:ascii="Calibri" w:eastAsia="Times New Roman" w:hAnsi="Calibri" w:cs="Times New Roman"/>
                <w:color w:val="000000"/>
                <w:lang w:val="gl-ES"/>
              </w:rPr>
              <w:t>De 16 a 24 anos</w:t>
            </w:r>
          </w:p>
        </w:tc>
        <w:tc>
          <w:tcPr>
            <w:tcW w:w="0" w:type="auto"/>
            <w:hideMark/>
          </w:tcPr>
          <w:p w:rsidR="008500B7" w:rsidRPr="008500B7" w:rsidRDefault="008500B7" w:rsidP="008500B7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8500B7">
              <w:rPr>
                <w:rFonts w:ascii="Calibri" w:eastAsia="Times New Roman" w:hAnsi="Calibri" w:cs="Times New Roman"/>
                <w:color w:val="000000"/>
                <w:lang w:val="gl-ES"/>
              </w:rPr>
              <w:t>841</w:t>
            </w:r>
          </w:p>
        </w:tc>
        <w:tc>
          <w:tcPr>
            <w:tcW w:w="0" w:type="auto"/>
            <w:hideMark/>
          </w:tcPr>
          <w:p w:rsidR="008500B7" w:rsidRPr="008500B7" w:rsidRDefault="008500B7" w:rsidP="008500B7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8500B7">
              <w:rPr>
                <w:rFonts w:ascii="Calibri" w:eastAsia="Times New Roman" w:hAnsi="Calibri" w:cs="Times New Roman"/>
                <w:color w:val="000000"/>
                <w:lang w:val="gl-ES"/>
              </w:rPr>
              <w:t>938</w:t>
            </w:r>
          </w:p>
        </w:tc>
        <w:tc>
          <w:tcPr>
            <w:tcW w:w="0" w:type="auto"/>
            <w:hideMark/>
          </w:tcPr>
          <w:p w:rsidR="008500B7" w:rsidRPr="008500B7" w:rsidRDefault="008500B7" w:rsidP="008500B7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8500B7">
              <w:rPr>
                <w:rFonts w:ascii="Calibri" w:eastAsia="Times New Roman" w:hAnsi="Calibri" w:cs="Times New Roman"/>
                <w:color w:val="000000"/>
                <w:lang w:val="gl-ES"/>
              </w:rPr>
              <w:t>738</w:t>
            </w:r>
          </w:p>
        </w:tc>
        <w:tc>
          <w:tcPr>
            <w:tcW w:w="0" w:type="auto"/>
            <w:noWrap/>
            <w:hideMark/>
          </w:tcPr>
          <w:p w:rsidR="008500B7" w:rsidRPr="008500B7" w:rsidRDefault="008500B7" w:rsidP="008500B7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8500B7">
              <w:rPr>
                <w:rFonts w:ascii="Calibri" w:eastAsia="Times New Roman" w:hAnsi="Calibri" w:cs="Times New Roman"/>
                <w:color w:val="000000"/>
                <w:lang w:val="gl-ES"/>
              </w:rPr>
              <w:t>78,7</w:t>
            </w:r>
          </w:p>
        </w:tc>
      </w:tr>
      <w:tr w:rsidR="008500B7" w:rsidRPr="008500B7" w:rsidTr="008500B7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8500B7" w:rsidRPr="008500B7" w:rsidRDefault="00724403" w:rsidP="008500B7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  </w:t>
            </w:r>
            <w:r w:rsidR="008500B7" w:rsidRPr="008500B7">
              <w:rPr>
                <w:rFonts w:ascii="Calibri" w:eastAsia="Times New Roman" w:hAnsi="Calibri" w:cs="Times New Roman"/>
                <w:color w:val="000000"/>
                <w:lang w:val="gl-ES"/>
              </w:rPr>
              <w:t>De 25 a 34 anos</w:t>
            </w:r>
          </w:p>
        </w:tc>
        <w:tc>
          <w:tcPr>
            <w:tcW w:w="0" w:type="auto"/>
            <w:hideMark/>
          </w:tcPr>
          <w:p w:rsidR="008500B7" w:rsidRPr="008500B7" w:rsidRDefault="008500B7" w:rsidP="008500B7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8500B7">
              <w:rPr>
                <w:rFonts w:ascii="Calibri" w:eastAsia="Times New Roman" w:hAnsi="Calibri" w:cs="Times New Roman"/>
                <w:color w:val="000000"/>
                <w:lang w:val="gl-ES"/>
              </w:rPr>
              <w:t>1.285</w:t>
            </w:r>
          </w:p>
        </w:tc>
        <w:tc>
          <w:tcPr>
            <w:tcW w:w="0" w:type="auto"/>
            <w:hideMark/>
          </w:tcPr>
          <w:p w:rsidR="008500B7" w:rsidRPr="008500B7" w:rsidRDefault="008500B7" w:rsidP="008500B7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8500B7">
              <w:rPr>
                <w:rFonts w:ascii="Calibri" w:eastAsia="Times New Roman" w:hAnsi="Calibri" w:cs="Times New Roman"/>
                <w:color w:val="000000"/>
                <w:lang w:val="gl-ES"/>
              </w:rPr>
              <w:t>1.390</w:t>
            </w:r>
          </w:p>
        </w:tc>
        <w:tc>
          <w:tcPr>
            <w:tcW w:w="0" w:type="auto"/>
            <w:hideMark/>
          </w:tcPr>
          <w:p w:rsidR="008500B7" w:rsidRPr="008500B7" w:rsidRDefault="008500B7" w:rsidP="008500B7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8500B7">
              <w:rPr>
                <w:rFonts w:ascii="Calibri" w:eastAsia="Times New Roman" w:hAnsi="Calibri" w:cs="Times New Roman"/>
                <w:color w:val="000000"/>
                <w:lang w:val="gl-ES"/>
              </w:rPr>
              <w:t>1.194</w:t>
            </w:r>
          </w:p>
        </w:tc>
        <w:tc>
          <w:tcPr>
            <w:tcW w:w="0" w:type="auto"/>
            <w:noWrap/>
            <w:hideMark/>
          </w:tcPr>
          <w:p w:rsidR="008500B7" w:rsidRPr="008500B7" w:rsidRDefault="008500B7" w:rsidP="008500B7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8500B7">
              <w:rPr>
                <w:rFonts w:ascii="Calibri" w:eastAsia="Times New Roman" w:hAnsi="Calibri" w:cs="Times New Roman"/>
                <w:color w:val="000000"/>
                <w:lang w:val="gl-ES"/>
              </w:rPr>
              <w:t>85,9</w:t>
            </w:r>
          </w:p>
        </w:tc>
      </w:tr>
      <w:tr w:rsidR="008500B7" w:rsidRPr="008500B7" w:rsidTr="008500B7">
        <w:trPr>
          <w:trHeight w:val="300"/>
        </w:trPr>
        <w:tc>
          <w:tcPr>
            <w:cnfStyle w:val="001000000000"/>
            <w:tcW w:w="0" w:type="auto"/>
            <w:hideMark/>
          </w:tcPr>
          <w:p w:rsidR="008500B7" w:rsidRPr="008500B7" w:rsidRDefault="00724403" w:rsidP="008500B7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  </w:t>
            </w:r>
            <w:r w:rsidR="008500B7" w:rsidRPr="008500B7">
              <w:rPr>
                <w:rFonts w:ascii="Calibri" w:eastAsia="Times New Roman" w:hAnsi="Calibri" w:cs="Times New Roman"/>
                <w:color w:val="000000"/>
                <w:lang w:val="gl-ES"/>
              </w:rPr>
              <w:t>De 35 a 44 anos</w:t>
            </w:r>
          </w:p>
        </w:tc>
        <w:tc>
          <w:tcPr>
            <w:tcW w:w="0" w:type="auto"/>
            <w:hideMark/>
          </w:tcPr>
          <w:p w:rsidR="008500B7" w:rsidRPr="008500B7" w:rsidRDefault="008500B7" w:rsidP="008500B7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8500B7">
              <w:rPr>
                <w:rFonts w:ascii="Calibri" w:eastAsia="Times New Roman" w:hAnsi="Calibri" w:cs="Times New Roman"/>
                <w:color w:val="000000"/>
                <w:lang w:val="gl-ES"/>
              </w:rPr>
              <w:t>1.577</w:t>
            </w:r>
          </w:p>
        </w:tc>
        <w:tc>
          <w:tcPr>
            <w:tcW w:w="0" w:type="auto"/>
            <w:hideMark/>
          </w:tcPr>
          <w:p w:rsidR="008500B7" w:rsidRPr="008500B7" w:rsidRDefault="008500B7" w:rsidP="008500B7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8500B7">
              <w:rPr>
                <w:rFonts w:ascii="Calibri" w:eastAsia="Times New Roman" w:hAnsi="Calibri" w:cs="Times New Roman"/>
                <w:color w:val="000000"/>
                <w:lang w:val="gl-ES"/>
              </w:rPr>
              <w:t>1.750</w:t>
            </w:r>
          </w:p>
        </w:tc>
        <w:tc>
          <w:tcPr>
            <w:tcW w:w="0" w:type="auto"/>
            <w:hideMark/>
          </w:tcPr>
          <w:p w:rsidR="008500B7" w:rsidRPr="008500B7" w:rsidRDefault="008500B7" w:rsidP="008500B7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8500B7">
              <w:rPr>
                <w:rFonts w:ascii="Calibri" w:eastAsia="Times New Roman" w:hAnsi="Calibri" w:cs="Times New Roman"/>
                <w:color w:val="000000"/>
                <w:lang w:val="gl-ES"/>
              </w:rPr>
              <w:t>1.417</w:t>
            </w:r>
          </w:p>
        </w:tc>
        <w:tc>
          <w:tcPr>
            <w:tcW w:w="0" w:type="auto"/>
            <w:noWrap/>
            <w:hideMark/>
          </w:tcPr>
          <w:p w:rsidR="008500B7" w:rsidRPr="008500B7" w:rsidRDefault="008500B7" w:rsidP="008500B7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8500B7">
              <w:rPr>
                <w:rFonts w:ascii="Calibri" w:eastAsia="Times New Roman" w:hAnsi="Calibri" w:cs="Times New Roman"/>
                <w:color w:val="000000"/>
                <w:lang w:val="gl-ES"/>
              </w:rPr>
              <w:t>81,0</w:t>
            </w:r>
          </w:p>
        </w:tc>
      </w:tr>
      <w:tr w:rsidR="008500B7" w:rsidRPr="008500B7" w:rsidTr="008500B7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8500B7" w:rsidRPr="008500B7" w:rsidRDefault="00724403" w:rsidP="008500B7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  </w:t>
            </w:r>
            <w:r w:rsidR="008500B7" w:rsidRPr="008500B7">
              <w:rPr>
                <w:rFonts w:ascii="Calibri" w:eastAsia="Times New Roman" w:hAnsi="Calibri" w:cs="Times New Roman"/>
                <w:color w:val="000000"/>
                <w:lang w:val="gl-ES"/>
              </w:rPr>
              <w:t>De 45 a 54 anos</w:t>
            </w:r>
          </w:p>
        </w:tc>
        <w:tc>
          <w:tcPr>
            <w:tcW w:w="0" w:type="auto"/>
            <w:hideMark/>
          </w:tcPr>
          <w:p w:rsidR="008500B7" w:rsidRPr="008500B7" w:rsidRDefault="008500B7" w:rsidP="008500B7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8500B7">
              <w:rPr>
                <w:rFonts w:ascii="Calibri" w:eastAsia="Times New Roman" w:hAnsi="Calibri" w:cs="Times New Roman"/>
                <w:color w:val="000000"/>
                <w:lang w:val="gl-ES"/>
              </w:rPr>
              <w:t>1.657</w:t>
            </w:r>
          </w:p>
        </w:tc>
        <w:tc>
          <w:tcPr>
            <w:tcW w:w="0" w:type="auto"/>
            <w:hideMark/>
          </w:tcPr>
          <w:p w:rsidR="008500B7" w:rsidRPr="008500B7" w:rsidRDefault="008500B7" w:rsidP="008500B7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8500B7">
              <w:rPr>
                <w:rFonts w:ascii="Calibri" w:eastAsia="Times New Roman" w:hAnsi="Calibri" w:cs="Times New Roman"/>
                <w:color w:val="000000"/>
                <w:lang w:val="gl-ES"/>
              </w:rPr>
              <w:t>1.866</w:t>
            </w:r>
          </w:p>
        </w:tc>
        <w:tc>
          <w:tcPr>
            <w:tcW w:w="0" w:type="auto"/>
            <w:hideMark/>
          </w:tcPr>
          <w:p w:rsidR="008500B7" w:rsidRPr="008500B7" w:rsidRDefault="008500B7" w:rsidP="008500B7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8500B7">
              <w:rPr>
                <w:rFonts w:ascii="Calibri" w:eastAsia="Times New Roman" w:hAnsi="Calibri" w:cs="Times New Roman"/>
                <w:color w:val="000000"/>
                <w:lang w:val="gl-ES"/>
              </w:rPr>
              <w:t>1.442</w:t>
            </w:r>
          </w:p>
        </w:tc>
        <w:tc>
          <w:tcPr>
            <w:tcW w:w="0" w:type="auto"/>
            <w:noWrap/>
            <w:hideMark/>
          </w:tcPr>
          <w:p w:rsidR="008500B7" w:rsidRPr="008500B7" w:rsidRDefault="008500B7" w:rsidP="008500B7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8500B7">
              <w:rPr>
                <w:rFonts w:ascii="Calibri" w:eastAsia="Times New Roman" w:hAnsi="Calibri" w:cs="Times New Roman"/>
                <w:color w:val="000000"/>
                <w:lang w:val="gl-ES"/>
              </w:rPr>
              <w:t>77,3</w:t>
            </w:r>
          </w:p>
        </w:tc>
      </w:tr>
      <w:tr w:rsidR="008500B7" w:rsidRPr="008500B7" w:rsidTr="008500B7">
        <w:trPr>
          <w:trHeight w:val="300"/>
        </w:trPr>
        <w:tc>
          <w:tcPr>
            <w:cnfStyle w:val="001000000000"/>
            <w:tcW w:w="0" w:type="auto"/>
            <w:hideMark/>
          </w:tcPr>
          <w:p w:rsidR="008500B7" w:rsidRPr="008500B7" w:rsidRDefault="00724403" w:rsidP="008500B7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  </w:t>
            </w:r>
            <w:r w:rsidR="008500B7" w:rsidRPr="008500B7">
              <w:rPr>
                <w:rFonts w:ascii="Calibri" w:eastAsia="Times New Roman" w:hAnsi="Calibri" w:cs="Times New Roman"/>
                <w:color w:val="000000"/>
                <w:lang w:val="gl-ES"/>
              </w:rPr>
              <w:t>De 55 a 64 anos</w:t>
            </w:r>
          </w:p>
        </w:tc>
        <w:tc>
          <w:tcPr>
            <w:tcW w:w="0" w:type="auto"/>
            <w:hideMark/>
          </w:tcPr>
          <w:p w:rsidR="008500B7" w:rsidRPr="008500B7" w:rsidRDefault="008500B7" w:rsidP="008500B7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8500B7">
              <w:rPr>
                <w:rFonts w:ascii="Calibri" w:eastAsia="Times New Roman" w:hAnsi="Calibri" w:cs="Times New Roman"/>
                <w:color w:val="000000"/>
                <w:lang w:val="gl-ES"/>
              </w:rPr>
              <w:t>1.787</w:t>
            </w:r>
          </w:p>
        </w:tc>
        <w:tc>
          <w:tcPr>
            <w:tcW w:w="0" w:type="auto"/>
            <w:hideMark/>
          </w:tcPr>
          <w:p w:rsidR="008500B7" w:rsidRPr="008500B7" w:rsidRDefault="008500B7" w:rsidP="008500B7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8500B7">
              <w:rPr>
                <w:rFonts w:ascii="Calibri" w:eastAsia="Times New Roman" w:hAnsi="Calibri" w:cs="Times New Roman"/>
                <w:color w:val="000000"/>
                <w:lang w:val="gl-ES"/>
              </w:rPr>
              <w:t>1.961</w:t>
            </w:r>
          </w:p>
        </w:tc>
        <w:tc>
          <w:tcPr>
            <w:tcW w:w="0" w:type="auto"/>
            <w:hideMark/>
          </w:tcPr>
          <w:p w:rsidR="008500B7" w:rsidRPr="008500B7" w:rsidRDefault="008500B7" w:rsidP="008500B7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8500B7">
              <w:rPr>
                <w:rFonts w:ascii="Calibri" w:eastAsia="Times New Roman" w:hAnsi="Calibri" w:cs="Times New Roman"/>
                <w:color w:val="000000"/>
                <w:lang w:val="gl-ES"/>
              </w:rPr>
              <w:t>1.594</w:t>
            </w:r>
          </w:p>
        </w:tc>
        <w:tc>
          <w:tcPr>
            <w:tcW w:w="0" w:type="auto"/>
            <w:noWrap/>
            <w:hideMark/>
          </w:tcPr>
          <w:p w:rsidR="008500B7" w:rsidRPr="008500B7" w:rsidRDefault="008500B7" w:rsidP="008500B7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8500B7">
              <w:rPr>
                <w:rFonts w:ascii="Calibri" w:eastAsia="Times New Roman" w:hAnsi="Calibri" w:cs="Times New Roman"/>
                <w:color w:val="000000"/>
                <w:lang w:val="gl-ES"/>
              </w:rPr>
              <w:t>81,3</w:t>
            </w:r>
          </w:p>
        </w:tc>
      </w:tr>
      <w:tr w:rsidR="008500B7" w:rsidRPr="008500B7" w:rsidTr="008500B7">
        <w:trPr>
          <w:cnfStyle w:val="000000100000"/>
          <w:trHeight w:val="300"/>
        </w:trPr>
        <w:tc>
          <w:tcPr>
            <w:cnfStyle w:val="001000000000"/>
            <w:tcW w:w="0" w:type="auto"/>
            <w:hideMark/>
          </w:tcPr>
          <w:p w:rsidR="008500B7" w:rsidRPr="008500B7" w:rsidRDefault="00724403" w:rsidP="008500B7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>
              <w:rPr>
                <w:rFonts w:ascii="Calibri" w:eastAsia="Times New Roman" w:hAnsi="Calibri" w:cs="Times New Roman"/>
                <w:color w:val="000000"/>
                <w:lang w:val="gl-ES"/>
              </w:rPr>
              <w:t xml:space="preserve">   </w:t>
            </w:r>
            <w:r w:rsidR="008500B7" w:rsidRPr="008500B7">
              <w:rPr>
                <w:rFonts w:ascii="Calibri" w:eastAsia="Times New Roman" w:hAnsi="Calibri" w:cs="Times New Roman"/>
                <w:color w:val="000000"/>
                <w:lang w:val="gl-ES"/>
              </w:rPr>
              <w:t>65 ou máis anos</w:t>
            </w:r>
          </w:p>
        </w:tc>
        <w:tc>
          <w:tcPr>
            <w:tcW w:w="0" w:type="auto"/>
            <w:hideMark/>
          </w:tcPr>
          <w:p w:rsidR="008500B7" w:rsidRPr="008500B7" w:rsidRDefault="008500B7" w:rsidP="008500B7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8500B7">
              <w:rPr>
                <w:rFonts w:ascii="Calibri" w:eastAsia="Times New Roman" w:hAnsi="Calibri" w:cs="Times New Roman"/>
                <w:color w:val="000000"/>
                <w:lang w:val="gl-ES"/>
              </w:rPr>
              <w:t>1.585</w:t>
            </w:r>
          </w:p>
        </w:tc>
        <w:tc>
          <w:tcPr>
            <w:tcW w:w="0" w:type="auto"/>
            <w:hideMark/>
          </w:tcPr>
          <w:p w:rsidR="008500B7" w:rsidRPr="008500B7" w:rsidRDefault="008500B7" w:rsidP="008500B7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8500B7">
              <w:rPr>
                <w:rFonts w:ascii="Calibri" w:eastAsia="Times New Roman" w:hAnsi="Calibri" w:cs="Times New Roman"/>
                <w:color w:val="000000"/>
                <w:lang w:val="gl-ES"/>
              </w:rPr>
              <w:t>1.721</w:t>
            </w:r>
          </w:p>
        </w:tc>
        <w:tc>
          <w:tcPr>
            <w:tcW w:w="0" w:type="auto"/>
            <w:hideMark/>
          </w:tcPr>
          <w:p w:rsidR="008500B7" w:rsidRPr="008500B7" w:rsidRDefault="008500B7" w:rsidP="008500B7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8500B7">
              <w:rPr>
                <w:rFonts w:ascii="Calibri" w:eastAsia="Times New Roman" w:hAnsi="Calibri" w:cs="Times New Roman"/>
                <w:color w:val="000000"/>
                <w:lang w:val="gl-ES"/>
              </w:rPr>
              <w:t>1.393</w:t>
            </w:r>
          </w:p>
        </w:tc>
        <w:tc>
          <w:tcPr>
            <w:tcW w:w="0" w:type="auto"/>
            <w:noWrap/>
            <w:hideMark/>
          </w:tcPr>
          <w:p w:rsidR="008500B7" w:rsidRPr="008500B7" w:rsidRDefault="008500B7" w:rsidP="008500B7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8500B7">
              <w:rPr>
                <w:rFonts w:ascii="Calibri" w:eastAsia="Times New Roman" w:hAnsi="Calibri" w:cs="Times New Roman"/>
                <w:color w:val="000000"/>
                <w:lang w:val="gl-ES"/>
              </w:rPr>
              <w:t>80,9</w:t>
            </w:r>
          </w:p>
        </w:tc>
      </w:tr>
    </w:tbl>
    <w:p w:rsidR="008500B7" w:rsidRPr="00E14AC9" w:rsidRDefault="00C44769" w:rsidP="00A43D34">
      <w:pPr>
        <w:jc w:val="both"/>
        <w:rPr>
          <w:rFonts w:ascii="Arial" w:hAnsi="Arial" w:cs="Arial"/>
          <w:i/>
          <w:sz w:val="24"/>
          <w:szCs w:val="24"/>
          <w:lang w:val="gl-ES"/>
        </w:rPr>
      </w:pPr>
      <w:r w:rsidRPr="00E14AC9">
        <w:rPr>
          <w:rFonts w:ascii="Arial" w:hAnsi="Arial" w:cs="Arial"/>
          <w:i/>
          <w:sz w:val="24"/>
          <w:szCs w:val="24"/>
          <w:lang w:val="gl-ES"/>
        </w:rPr>
        <w:t>Fonte: IGE. Pensións e outras prestacións.</w:t>
      </w:r>
    </w:p>
    <w:p w:rsidR="00C44769" w:rsidRDefault="00C44769" w:rsidP="00A43D34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No que atinxe estritamente </w:t>
      </w:r>
      <w:r w:rsidR="000449D3">
        <w:rPr>
          <w:rFonts w:ascii="Arial" w:hAnsi="Arial" w:cs="Arial"/>
          <w:sz w:val="24"/>
          <w:szCs w:val="24"/>
          <w:lang w:val="gl-ES"/>
        </w:rPr>
        <w:t>á</w:t>
      </w:r>
      <w:r>
        <w:rPr>
          <w:rFonts w:ascii="Arial" w:hAnsi="Arial" w:cs="Arial"/>
          <w:sz w:val="24"/>
          <w:szCs w:val="24"/>
          <w:lang w:val="gl-ES"/>
        </w:rPr>
        <w:t xml:space="preserve">s bases de cotización, a diferenza </w:t>
      </w:r>
      <w:r w:rsidR="000449D3">
        <w:rPr>
          <w:rFonts w:ascii="Arial" w:hAnsi="Arial" w:cs="Arial"/>
          <w:sz w:val="24"/>
          <w:szCs w:val="24"/>
          <w:lang w:val="gl-ES"/>
        </w:rPr>
        <w:t xml:space="preserve">entre homes e mulleres </w:t>
      </w:r>
      <w:r>
        <w:rPr>
          <w:rFonts w:ascii="Arial" w:hAnsi="Arial" w:cs="Arial"/>
          <w:sz w:val="24"/>
          <w:szCs w:val="24"/>
          <w:lang w:val="gl-ES"/>
        </w:rPr>
        <w:t xml:space="preserve">é de preto do 20% de media, e o que é máis grave, é </w:t>
      </w:r>
      <w:r w:rsidR="000449D3">
        <w:rPr>
          <w:rFonts w:ascii="Arial" w:hAnsi="Arial" w:cs="Arial"/>
          <w:sz w:val="24"/>
          <w:szCs w:val="24"/>
          <w:lang w:val="gl-ES"/>
        </w:rPr>
        <w:t xml:space="preserve">esta diferenza é </w:t>
      </w:r>
      <w:r>
        <w:rPr>
          <w:rFonts w:ascii="Arial" w:hAnsi="Arial" w:cs="Arial"/>
          <w:sz w:val="24"/>
          <w:szCs w:val="24"/>
          <w:lang w:val="gl-ES"/>
        </w:rPr>
        <w:t>superior nas de menor idade.</w:t>
      </w:r>
    </w:p>
    <w:p w:rsidR="00C44769" w:rsidRDefault="00C44769" w:rsidP="00A43D34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 xml:space="preserve">As bases de cotización das menores de 24 anos son un 21,3% inferiores ás dos homes da mesma idade, o que pon en cuestión que as diferenzas se estean </w:t>
      </w:r>
      <w:r w:rsidR="000449D3">
        <w:rPr>
          <w:rFonts w:ascii="Arial" w:hAnsi="Arial" w:cs="Arial"/>
          <w:sz w:val="24"/>
          <w:szCs w:val="24"/>
          <w:lang w:val="gl-ES"/>
        </w:rPr>
        <w:t xml:space="preserve">a </w:t>
      </w:r>
      <w:r>
        <w:rPr>
          <w:rFonts w:ascii="Arial" w:hAnsi="Arial" w:cs="Arial"/>
          <w:sz w:val="24"/>
          <w:szCs w:val="24"/>
          <w:lang w:val="gl-ES"/>
        </w:rPr>
        <w:t>reduci</w:t>
      </w:r>
      <w:r w:rsidR="000449D3">
        <w:rPr>
          <w:rFonts w:ascii="Arial" w:hAnsi="Arial" w:cs="Arial"/>
          <w:sz w:val="24"/>
          <w:szCs w:val="24"/>
          <w:lang w:val="gl-ES"/>
        </w:rPr>
        <w:t>r</w:t>
      </w:r>
      <w:r>
        <w:rPr>
          <w:rFonts w:ascii="Arial" w:hAnsi="Arial" w:cs="Arial"/>
          <w:sz w:val="24"/>
          <w:szCs w:val="24"/>
          <w:lang w:val="gl-ES"/>
        </w:rPr>
        <w:t xml:space="preserve"> na actualidade. </w:t>
      </w:r>
      <w:r w:rsidR="000449D3">
        <w:rPr>
          <w:rFonts w:ascii="Arial" w:hAnsi="Arial" w:cs="Arial"/>
          <w:sz w:val="24"/>
          <w:szCs w:val="24"/>
          <w:lang w:val="gl-ES"/>
        </w:rPr>
        <w:t>Na</w:t>
      </w:r>
      <w:r w:rsidR="00813D74">
        <w:rPr>
          <w:rFonts w:ascii="Arial" w:hAnsi="Arial" w:cs="Arial"/>
          <w:sz w:val="24"/>
          <w:szCs w:val="24"/>
          <w:lang w:val="gl-ES"/>
        </w:rPr>
        <w:t xml:space="preserve">s máis novas, incluso os niveis de formación son maiores que os dos seus homólogos da mesma idade, en cambio non parece que isto estea </w:t>
      </w:r>
      <w:r w:rsidR="000449D3">
        <w:rPr>
          <w:rFonts w:ascii="Arial" w:hAnsi="Arial" w:cs="Arial"/>
          <w:sz w:val="24"/>
          <w:szCs w:val="24"/>
          <w:lang w:val="gl-ES"/>
        </w:rPr>
        <w:t xml:space="preserve">a </w:t>
      </w:r>
      <w:r w:rsidR="00813D74">
        <w:rPr>
          <w:rFonts w:ascii="Arial" w:hAnsi="Arial" w:cs="Arial"/>
          <w:sz w:val="24"/>
          <w:szCs w:val="24"/>
          <w:lang w:val="gl-ES"/>
        </w:rPr>
        <w:t>repercuti</w:t>
      </w:r>
      <w:r w:rsidR="000449D3">
        <w:rPr>
          <w:rFonts w:ascii="Arial" w:hAnsi="Arial" w:cs="Arial"/>
          <w:sz w:val="24"/>
          <w:szCs w:val="24"/>
          <w:lang w:val="gl-ES"/>
        </w:rPr>
        <w:t>r</w:t>
      </w:r>
      <w:r w:rsidR="00813D74">
        <w:rPr>
          <w:rFonts w:ascii="Arial" w:hAnsi="Arial" w:cs="Arial"/>
          <w:sz w:val="24"/>
          <w:szCs w:val="24"/>
          <w:lang w:val="gl-ES"/>
        </w:rPr>
        <w:t xml:space="preserve"> nos salarios e polo tanto nas bases de cotización.</w:t>
      </w:r>
    </w:p>
    <w:p w:rsidR="00461778" w:rsidRDefault="00813D74" w:rsidP="00A43D34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As menores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>
        <w:rPr>
          <w:rFonts w:ascii="Arial" w:hAnsi="Arial" w:cs="Arial"/>
          <w:sz w:val="24"/>
          <w:szCs w:val="24"/>
          <w:lang w:val="gl-ES"/>
        </w:rPr>
        <w:t>diferenzas prodúcense entre os as persoas de 25 a 34 anos.</w:t>
      </w:r>
    </w:p>
    <w:p w:rsidR="00BD2BDA" w:rsidRDefault="00FB2237" w:rsidP="00A43D34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Non s</w:t>
      </w:r>
      <w:r w:rsidR="000449D3">
        <w:rPr>
          <w:rFonts w:ascii="Arial" w:hAnsi="Arial" w:cs="Arial"/>
          <w:sz w:val="24"/>
          <w:szCs w:val="24"/>
          <w:lang w:val="gl-ES"/>
        </w:rPr>
        <w:t>ó</w:t>
      </w:r>
      <w:r>
        <w:rPr>
          <w:rFonts w:ascii="Arial" w:hAnsi="Arial" w:cs="Arial"/>
          <w:sz w:val="24"/>
          <w:szCs w:val="24"/>
          <w:lang w:val="gl-ES"/>
        </w:rPr>
        <w:t xml:space="preserve"> son menores as bases de cotización,</w:t>
      </w:r>
      <w:r w:rsidR="000449D3">
        <w:rPr>
          <w:rFonts w:ascii="Arial" w:hAnsi="Arial" w:cs="Arial"/>
          <w:sz w:val="24"/>
          <w:szCs w:val="24"/>
          <w:lang w:val="gl-ES"/>
        </w:rPr>
        <w:t xml:space="preserve"> senón que se cotiza menos anos no caso das </w:t>
      </w:r>
      <w:r w:rsidR="00BA432E">
        <w:rPr>
          <w:rFonts w:ascii="Arial" w:hAnsi="Arial" w:cs="Arial"/>
          <w:sz w:val="24"/>
          <w:szCs w:val="24"/>
          <w:lang w:val="gl-ES"/>
        </w:rPr>
        <w:t>mulleres</w:t>
      </w:r>
      <w:r w:rsidR="000449D3">
        <w:rPr>
          <w:rFonts w:ascii="Arial" w:hAnsi="Arial" w:cs="Arial"/>
          <w:sz w:val="24"/>
          <w:szCs w:val="24"/>
          <w:lang w:val="gl-ES"/>
        </w:rPr>
        <w:t>.</w:t>
      </w:r>
    </w:p>
    <w:p w:rsidR="00BD2BDA" w:rsidRDefault="00BD2BDA" w:rsidP="00A43D34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Anos cotizados segundo sexo e idade.</w:t>
      </w:r>
    </w:p>
    <w:tbl>
      <w:tblPr>
        <w:tblStyle w:val="Sombreadoclaro-nfasis4"/>
        <w:tblW w:w="0" w:type="auto"/>
        <w:tblLook w:val="04A0"/>
      </w:tblPr>
      <w:tblGrid>
        <w:gridCol w:w="1868"/>
        <w:gridCol w:w="717"/>
        <w:gridCol w:w="851"/>
        <w:gridCol w:w="1022"/>
        <w:gridCol w:w="1704"/>
      </w:tblGrid>
      <w:tr w:rsidR="00FB2237" w:rsidRPr="00FB2237" w:rsidTr="00FB2237">
        <w:trPr>
          <w:cnfStyle w:val="100000000000"/>
          <w:trHeight w:val="300"/>
        </w:trPr>
        <w:tc>
          <w:tcPr>
            <w:cnfStyle w:val="001000000000"/>
            <w:tcW w:w="0" w:type="auto"/>
            <w:gridSpan w:val="4"/>
            <w:noWrap/>
            <w:hideMark/>
          </w:tcPr>
          <w:p w:rsidR="00FB2237" w:rsidRPr="00FB2237" w:rsidRDefault="00FB2237" w:rsidP="00FB2237">
            <w:pPr>
              <w:jc w:val="center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B2237">
              <w:rPr>
                <w:rFonts w:ascii="Calibri" w:eastAsia="Times New Roman" w:hAnsi="Calibri" w:cs="Times New Roman"/>
                <w:color w:val="000000"/>
                <w:lang w:val="gl-ES"/>
              </w:rPr>
              <w:t>2015</w:t>
            </w:r>
          </w:p>
        </w:tc>
        <w:tc>
          <w:tcPr>
            <w:tcW w:w="0" w:type="auto"/>
            <w:noWrap/>
            <w:hideMark/>
          </w:tcPr>
          <w:p w:rsidR="00FB2237" w:rsidRPr="00FB2237" w:rsidRDefault="00FB2237" w:rsidP="00FB2237">
            <w:pPr>
              <w:cnfStyle w:val="1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</w:p>
        </w:tc>
      </w:tr>
      <w:tr w:rsidR="00FB2237" w:rsidRPr="00FB2237" w:rsidTr="00FB2237">
        <w:trPr>
          <w:cnfStyle w:val="000000100000"/>
          <w:trHeight w:val="600"/>
        </w:trPr>
        <w:tc>
          <w:tcPr>
            <w:cnfStyle w:val="001000000000"/>
            <w:tcW w:w="0" w:type="auto"/>
            <w:noWrap/>
            <w:hideMark/>
          </w:tcPr>
          <w:p w:rsidR="00FB2237" w:rsidRPr="00FB2237" w:rsidRDefault="00FB2237" w:rsidP="00FB2237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</w:p>
        </w:tc>
        <w:tc>
          <w:tcPr>
            <w:tcW w:w="0" w:type="auto"/>
            <w:hideMark/>
          </w:tcPr>
          <w:p w:rsidR="00FB2237" w:rsidRPr="00FB2237" w:rsidRDefault="00FB2237" w:rsidP="00FB2237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</w:pPr>
            <w:r w:rsidRPr="00FB2237"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  <w:t>Total</w:t>
            </w:r>
          </w:p>
        </w:tc>
        <w:tc>
          <w:tcPr>
            <w:tcW w:w="0" w:type="auto"/>
            <w:hideMark/>
          </w:tcPr>
          <w:p w:rsidR="00FB2237" w:rsidRPr="00FB2237" w:rsidRDefault="00FB2237" w:rsidP="00FB2237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</w:pPr>
            <w:r w:rsidRPr="00FB2237"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  <w:t>Homes</w:t>
            </w:r>
          </w:p>
        </w:tc>
        <w:tc>
          <w:tcPr>
            <w:tcW w:w="0" w:type="auto"/>
            <w:hideMark/>
          </w:tcPr>
          <w:p w:rsidR="00FB2237" w:rsidRPr="00FB2237" w:rsidRDefault="00FB2237" w:rsidP="00FB2237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</w:pPr>
            <w:r w:rsidRPr="00FB2237"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  <w:t>Mulleres</w:t>
            </w:r>
          </w:p>
        </w:tc>
        <w:tc>
          <w:tcPr>
            <w:tcW w:w="0" w:type="auto"/>
            <w:hideMark/>
          </w:tcPr>
          <w:p w:rsidR="00FB2237" w:rsidRPr="00FB2237" w:rsidRDefault="00FB2237" w:rsidP="00FB2237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</w:pPr>
            <w:r w:rsidRPr="00FB2237">
              <w:rPr>
                <w:rFonts w:ascii="Calibri" w:eastAsia="Times New Roman" w:hAnsi="Calibri" w:cs="Times New Roman"/>
                <w:b/>
                <w:bCs/>
                <w:color w:val="000000"/>
                <w:lang w:val="gl-ES"/>
              </w:rPr>
              <w:t>Mulleres-homes</w:t>
            </w:r>
          </w:p>
        </w:tc>
      </w:tr>
      <w:tr w:rsidR="00FB2237" w:rsidRPr="00FB2237" w:rsidTr="00FB2237">
        <w:trPr>
          <w:trHeight w:val="600"/>
        </w:trPr>
        <w:tc>
          <w:tcPr>
            <w:cnfStyle w:val="001000000000"/>
            <w:tcW w:w="0" w:type="auto"/>
            <w:hideMark/>
          </w:tcPr>
          <w:p w:rsidR="00FB2237" w:rsidRPr="00FB2237" w:rsidRDefault="00FB2237" w:rsidP="00FB2237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B2237">
              <w:rPr>
                <w:rFonts w:ascii="Calibri" w:eastAsia="Times New Roman" w:hAnsi="Calibri" w:cs="Times New Roman"/>
                <w:color w:val="000000"/>
                <w:lang w:val="gl-ES"/>
              </w:rPr>
              <w:t>Menor de 25 anos</w:t>
            </w:r>
          </w:p>
        </w:tc>
        <w:tc>
          <w:tcPr>
            <w:tcW w:w="0" w:type="auto"/>
            <w:hideMark/>
          </w:tcPr>
          <w:p w:rsidR="00FB2237" w:rsidRPr="00FB2237" w:rsidRDefault="00FB2237" w:rsidP="00FB2237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B2237">
              <w:rPr>
                <w:rFonts w:ascii="Calibri" w:eastAsia="Times New Roman" w:hAnsi="Calibri" w:cs="Times New Roman"/>
                <w:color w:val="000000"/>
                <w:lang w:val="gl-ES"/>
              </w:rPr>
              <w:t>1,3</w:t>
            </w:r>
          </w:p>
        </w:tc>
        <w:tc>
          <w:tcPr>
            <w:tcW w:w="0" w:type="auto"/>
            <w:hideMark/>
          </w:tcPr>
          <w:p w:rsidR="00FB2237" w:rsidRPr="00FB2237" w:rsidRDefault="00FB2237" w:rsidP="00FB2237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B2237">
              <w:rPr>
                <w:rFonts w:ascii="Calibri" w:eastAsia="Times New Roman" w:hAnsi="Calibri" w:cs="Times New Roman"/>
                <w:color w:val="000000"/>
                <w:lang w:val="gl-ES"/>
              </w:rPr>
              <w:t>1,4</w:t>
            </w:r>
          </w:p>
        </w:tc>
        <w:tc>
          <w:tcPr>
            <w:tcW w:w="0" w:type="auto"/>
            <w:hideMark/>
          </w:tcPr>
          <w:p w:rsidR="00FB2237" w:rsidRPr="00FB2237" w:rsidRDefault="00FB2237" w:rsidP="00FB2237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B2237">
              <w:rPr>
                <w:rFonts w:ascii="Calibri" w:eastAsia="Times New Roman" w:hAnsi="Calibri" w:cs="Times New Roman"/>
                <w:color w:val="000000"/>
                <w:lang w:val="gl-ES"/>
              </w:rPr>
              <w:t>1,2</w:t>
            </w:r>
          </w:p>
        </w:tc>
        <w:tc>
          <w:tcPr>
            <w:tcW w:w="0" w:type="auto"/>
            <w:noWrap/>
            <w:hideMark/>
          </w:tcPr>
          <w:p w:rsidR="00FB2237" w:rsidRPr="00FB2237" w:rsidRDefault="00FB2237" w:rsidP="00FB2237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B2237">
              <w:rPr>
                <w:rFonts w:ascii="Calibri" w:eastAsia="Times New Roman" w:hAnsi="Calibri" w:cs="Times New Roman"/>
                <w:color w:val="000000"/>
                <w:lang w:val="gl-ES"/>
              </w:rPr>
              <w:t>-0,2</w:t>
            </w:r>
          </w:p>
        </w:tc>
      </w:tr>
      <w:tr w:rsidR="00FB2237" w:rsidRPr="00FB2237" w:rsidTr="00FB223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FB2237" w:rsidRPr="00FB2237" w:rsidRDefault="00FB2237" w:rsidP="00FB2237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B2237">
              <w:rPr>
                <w:rFonts w:ascii="Calibri" w:eastAsia="Times New Roman" w:hAnsi="Calibri" w:cs="Times New Roman"/>
                <w:color w:val="000000"/>
                <w:lang w:val="gl-ES"/>
              </w:rPr>
              <w:t>De 25 a 34 anos</w:t>
            </w:r>
          </w:p>
        </w:tc>
        <w:tc>
          <w:tcPr>
            <w:tcW w:w="0" w:type="auto"/>
            <w:noWrap/>
            <w:hideMark/>
          </w:tcPr>
          <w:p w:rsidR="00FB2237" w:rsidRPr="00FB2237" w:rsidRDefault="00FB2237" w:rsidP="00FB2237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B2237">
              <w:rPr>
                <w:rFonts w:ascii="Calibri" w:eastAsia="Times New Roman" w:hAnsi="Calibri" w:cs="Times New Roman"/>
                <w:color w:val="000000"/>
                <w:lang w:val="gl-ES"/>
              </w:rPr>
              <w:t>6,16</w:t>
            </w:r>
          </w:p>
        </w:tc>
        <w:tc>
          <w:tcPr>
            <w:tcW w:w="0" w:type="auto"/>
            <w:noWrap/>
            <w:hideMark/>
          </w:tcPr>
          <w:p w:rsidR="00FB2237" w:rsidRPr="00FB2237" w:rsidRDefault="00FB2237" w:rsidP="00FB2237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B2237">
              <w:rPr>
                <w:rFonts w:ascii="Calibri" w:eastAsia="Times New Roman" w:hAnsi="Calibri" w:cs="Times New Roman"/>
                <w:color w:val="000000"/>
                <w:lang w:val="gl-ES"/>
              </w:rPr>
              <w:t>6,66</w:t>
            </w:r>
          </w:p>
        </w:tc>
        <w:tc>
          <w:tcPr>
            <w:tcW w:w="0" w:type="auto"/>
            <w:noWrap/>
            <w:hideMark/>
          </w:tcPr>
          <w:p w:rsidR="00FB2237" w:rsidRPr="00FB2237" w:rsidRDefault="00FB2237" w:rsidP="00FB2237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B2237">
              <w:rPr>
                <w:rFonts w:ascii="Calibri" w:eastAsia="Times New Roman" w:hAnsi="Calibri" w:cs="Times New Roman"/>
                <w:color w:val="000000"/>
                <w:lang w:val="gl-ES"/>
              </w:rPr>
              <w:t>5,65</w:t>
            </w:r>
          </w:p>
        </w:tc>
        <w:tc>
          <w:tcPr>
            <w:tcW w:w="0" w:type="auto"/>
            <w:noWrap/>
            <w:hideMark/>
          </w:tcPr>
          <w:p w:rsidR="00FB2237" w:rsidRPr="00FB2237" w:rsidRDefault="00FB2237" w:rsidP="00FB2237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B2237">
              <w:rPr>
                <w:rFonts w:ascii="Calibri" w:eastAsia="Times New Roman" w:hAnsi="Calibri" w:cs="Times New Roman"/>
                <w:color w:val="000000"/>
                <w:lang w:val="gl-ES"/>
              </w:rPr>
              <w:t>-1,01</w:t>
            </w:r>
          </w:p>
        </w:tc>
      </w:tr>
      <w:tr w:rsidR="00FB2237" w:rsidRPr="00FB2237" w:rsidTr="00FB2237">
        <w:trPr>
          <w:trHeight w:val="300"/>
        </w:trPr>
        <w:tc>
          <w:tcPr>
            <w:cnfStyle w:val="001000000000"/>
            <w:tcW w:w="0" w:type="auto"/>
            <w:noWrap/>
            <w:hideMark/>
          </w:tcPr>
          <w:p w:rsidR="00FB2237" w:rsidRPr="00FB2237" w:rsidRDefault="00FB2237" w:rsidP="00FB2237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B2237">
              <w:rPr>
                <w:rFonts w:ascii="Calibri" w:eastAsia="Times New Roman" w:hAnsi="Calibri" w:cs="Times New Roman"/>
                <w:color w:val="000000"/>
                <w:lang w:val="gl-ES"/>
              </w:rPr>
              <w:t>De 35 a 44 anos</w:t>
            </w:r>
          </w:p>
        </w:tc>
        <w:tc>
          <w:tcPr>
            <w:tcW w:w="0" w:type="auto"/>
            <w:noWrap/>
            <w:hideMark/>
          </w:tcPr>
          <w:p w:rsidR="00FB2237" w:rsidRPr="00FB2237" w:rsidRDefault="00FB2237" w:rsidP="00FB2237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B2237">
              <w:rPr>
                <w:rFonts w:ascii="Calibri" w:eastAsia="Times New Roman" w:hAnsi="Calibri" w:cs="Times New Roman"/>
                <w:color w:val="000000"/>
                <w:lang w:val="gl-ES"/>
              </w:rPr>
              <w:t>13,34</w:t>
            </w:r>
          </w:p>
        </w:tc>
        <w:tc>
          <w:tcPr>
            <w:tcW w:w="0" w:type="auto"/>
            <w:noWrap/>
            <w:hideMark/>
          </w:tcPr>
          <w:p w:rsidR="00FB2237" w:rsidRPr="00FB2237" w:rsidRDefault="00FB2237" w:rsidP="00FB2237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B2237">
              <w:rPr>
                <w:rFonts w:ascii="Calibri" w:eastAsia="Times New Roman" w:hAnsi="Calibri" w:cs="Times New Roman"/>
                <w:color w:val="000000"/>
                <w:lang w:val="gl-ES"/>
              </w:rPr>
              <w:t>14,51</w:t>
            </w:r>
          </w:p>
        </w:tc>
        <w:tc>
          <w:tcPr>
            <w:tcW w:w="0" w:type="auto"/>
            <w:noWrap/>
            <w:hideMark/>
          </w:tcPr>
          <w:p w:rsidR="00FB2237" w:rsidRPr="00FB2237" w:rsidRDefault="00FB2237" w:rsidP="00FB2237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B2237">
              <w:rPr>
                <w:rFonts w:ascii="Calibri" w:eastAsia="Times New Roman" w:hAnsi="Calibri" w:cs="Times New Roman"/>
                <w:color w:val="000000"/>
                <w:lang w:val="gl-ES"/>
              </w:rPr>
              <w:t>12,07</w:t>
            </w:r>
          </w:p>
        </w:tc>
        <w:tc>
          <w:tcPr>
            <w:tcW w:w="0" w:type="auto"/>
            <w:noWrap/>
            <w:hideMark/>
          </w:tcPr>
          <w:p w:rsidR="00FB2237" w:rsidRPr="00FB2237" w:rsidRDefault="00FB2237" w:rsidP="00FB2237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B2237">
              <w:rPr>
                <w:rFonts w:ascii="Calibri" w:eastAsia="Times New Roman" w:hAnsi="Calibri" w:cs="Times New Roman"/>
                <w:color w:val="000000"/>
                <w:lang w:val="gl-ES"/>
              </w:rPr>
              <w:t>-2,44</w:t>
            </w:r>
          </w:p>
        </w:tc>
      </w:tr>
      <w:tr w:rsidR="00FB2237" w:rsidRPr="00FB2237" w:rsidTr="00FB223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FB2237" w:rsidRPr="00FB2237" w:rsidRDefault="00FB2237" w:rsidP="00FB2237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B2237">
              <w:rPr>
                <w:rFonts w:ascii="Calibri" w:eastAsia="Times New Roman" w:hAnsi="Calibri" w:cs="Times New Roman"/>
                <w:color w:val="000000"/>
                <w:lang w:val="gl-ES"/>
              </w:rPr>
              <w:t>De 45 a 54 anos</w:t>
            </w:r>
          </w:p>
        </w:tc>
        <w:tc>
          <w:tcPr>
            <w:tcW w:w="0" w:type="auto"/>
            <w:noWrap/>
            <w:hideMark/>
          </w:tcPr>
          <w:p w:rsidR="00FB2237" w:rsidRPr="00FB2237" w:rsidRDefault="00FB2237" w:rsidP="00FB2237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B2237">
              <w:rPr>
                <w:rFonts w:ascii="Calibri" w:eastAsia="Times New Roman" w:hAnsi="Calibri" w:cs="Times New Roman"/>
                <w:color w:val="000000"/>
                <w:lang w:val="gl-ES"/>
              </w:rPr>
              <w:t>19,94</w:t>
            </w:r>
          </w:p>
        </w:tc>
        <w:tc>
          <w:tcPr>
            <w:tcW w:w="0" w:type="auto"/>
            <w:noWrap/>
            <w:hideMark/>
          </w:tcPr>
          <w:p w:rsidR="00FB2237" w:rsidRPr="00FB2237" w:rsidRDefault="00FB2237" w:rsidP="00FB2237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B2237">
              <w:rPr>
                <w:rFonts w:ascii="Calibri" w:eastAsia="Times New Roman" w:hAnsi="Calibri" w:cs="Times New Roman"/>
                <w:color w:val="000000"/>
                <w:lang w:val="gl-ES"/>
              </w:rPr>
              <w:t>22,48</w:t>
            </w:r>
          </w:p>
        </w:tc>
        <w:tc>
          <w:tcPr>
            <w:tcW w:w="0" w:type="auto"/>
            <w:noWrap/>
            <w:hideMark/>
          </w:tcPr>
          <w:p w:rsidR="00FB2237" w:rsidRPr="00FB2237" w:rsidRDefault="00FB2237" w:rsidP="00FB2237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B2237">
              <w:rPr>
                <w:rFonts w:ascii="Calibri" w:eastAsia="Times New Roman" w:hAnsi="Calibri" w:cs="Times New Roman"/>
                <w:color w:val="000000"/>
                <w:lang w:val="gl-ES"/>
              </w:rPr>
              <w:t>17,1</w:t>
            </w:r>
          </w:p>
        </w:tc>
        <w:tc>
          <w:tcPr>
            <w:tcW w:w="0" w:type="auto"/>
            <w:noWrap/>
            <w:hideMark/>
          </w:tcPr>
          <w:p w:rsidR="00FB2237" w:rsidRPr="00FB2237" w:rsidRDefault="00FB2237" w:rsidP="00FB2237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B2237">
              <w:rPr>
                <w:rFonts w:ascii="Calibri" w:eastAsia="Times New Roman" w:hAnsi="Calibri" w:cs="Times New Roman"/>
                <w:color w:val="000000"/>
                <w:lang w:val="gl-ES"/>
              </w:rPr>
              <w:t>-5,38</w:t>
            </w:r>
          </w:p>
        </w:tc>
      </w:tr>
      <w:tr w:rsidR="00FB2237" w:rsidRPr="00FB2237" w:rsidTr="00FB2237">
        <w:trPr>
          <w:trHeight w:val="300"/>
        </w:trPr>
        <w:tc>
          <w:tcPr>
            <w:cnfStyle w:val="001000000000"/>
            <w:tcW w:w="0" w:type="auto"/>
            <w:noWrap/>
            <w:hideMark/>
          </w:tcPr>
          <w:p w:rsidR="00FB2237" w:rsidRPr="00FB2237" w:rsidRDefault="00FB2237" w:rsidP="00FB2237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B2237">
              <w:rPr>
                <w:rFonts w:ascii="Calibri" w:eastAsia="Times New Roman" w:hAnsi="Calibri" w:cs="Times New Roman"/>
                <w:color w:val="000000"/>
                <w:lang w:val="gl-ES"/>
              </w:rPr>
              <w:t>De 55 a 64 anos</w:t>
            </w:r>
          </w:p>
        </w:tc>
        <w:tc>
          <w:tcPr>
            <w:tcW w:w="0" w:type="auto"/>
            <w:noWrap/>
            <w:hideMark/>
          </w:tcPr>
          <w:p w:rsidR="00FB2237" w:rsidRPr="00FB2237" w:rsidRDefault="00FB2237" w:rsidP="00FB2237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B2237">
              <w:rPr>
                <w:rFonts w:ascii="Calibri" w:eastAsia="Times New Roman" w:hAnsi="Calibri" w:cs="Times New Roman"/>
                <w:color w:val="000000"/>
                <w:lang w:val="gl-ES"/>
              </w:rPr>
              <w:t>26,97</w:t>
            </w:r>
          </w:p>
        </w:tc>
        <w:tc>
          <w:tcPr>
            <w:tcW w:w="0" w:type="auto"/>
            <w:noWrap/>
            <w:hideMark/>
          </w:tcPr>
          <w:p w:rsidR="00FB2237" w:rsidRPr="00FB2237" w:rsidRDefault="00FB2237" w:rsidP="00FB2237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B2237">
              <w:rPr>
                <w:rFonts w:ascii="Calibri" w:eastAsia="Times New Roman" w:hAnsi="Calibri" w:cs="Times New Roman"/>
                <w:color w:val="000000"/>
                <w:lang w:val="gl-ES"/>
              </w:rPr>
              <w:t>30,98</w:t>
            </w:r>
          </w:p>
        </w:tc>
        <w:tc>
          <w:tcPr>
            <w:tcW w:w="0" w:type="auto"/>
            <w:noWrap/>
            <w:hideMark/>
          </w:tcPr>
          <w:p w:rsidR="00FB2237" w:rsidRPr="00FB2237" w:rsidRDefault="00FB2237" w:rsidP="00FB2237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B2237">
              <w:rPr>
                <w:rFonts w:ascii="Calibri" w:eastAsia="Times New Roman" w:hAnsi="Calibri" w:cs="Times New Roman"/>
                <w:color w:val="000000"/>
                <w:lang w:val="gl-ES"/>
              </w:rPr>
              <w:t>22,64</w:t>
            </w:r>
          </w:p>
        </w:tc>
        <w:tc>
          <w:tcPr>
            <w:tcW w:w="0" w:type="auto"/>
            <w:noWrap/>
            <w:hideMark/>
          </w:tcPr>
          <w:p w:rsidR="00FB2237" w:rsidRPr="00FB2237" w:rsidRDefault="00FB2237" w:rsidP="00FB2237">
            <w:pPr>
              <w:jc w:val="right"/>
              <w:cnfStyle w:val="0000000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B2237">
              <w:rPr>
                <w:rFonts w:ascii="Calibri" w:eastAsia="Times New Roman" w:hAnsi="Calibri" w:cs="Times New Roman"/>
                <w:color w:val="000000"/>
                <w:lang w:val="gl-ES"/>
              </w:rPr>
              <w:t>-8,34</w:t>
            </w:r>
          </w:p>
        </w:tc>
      </w:tr>
      <w:tr w:rsidR="00FB2237" w:rsidRPr="00FB2237" w:rsidTr="00FB2237">
        <w:trPr>
          <w:cnfStyle w:val="000000100000"/>
          <w:trHeight w:val="300"/>
        </w:trPr>
        <w:tc>
          <w:tcPr>
            <w:cnfStyle w:val="001000000000"/>
            <w:tcW w:w="0" w:type="auto"/>
            <w:noWrap/>
            <w:hideMark/>
          </w:tcPr>
          <w:p w:rsidR="00FB2237" w:rsidRPr="00FB2237" w:rsidRDefault="00FB2237" w:rsidP="00FB2237">
            <w:pPr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B2237">
              <w:rPr>
                <w:rFonts w:ascii="Calibri" w:eastAsia="Times New Roman" w:hAnsi="Calibri" w:cs="Times New Roman"/>
                <w:color w:val="000000"/>
                <w:lang w:val="gl-ES"/>
              </w:rPr>
              <w:t>máis de 65</w:t>
            </w:r>
          </w:p>
        </w:tc>
        <w:tc>
          <w:tcPr>
            <w:tcW w:w="0" w:type="auto"/>
            <w:hideMark/>
          </w:tcPr>
          <w:p w:rsidR="00FB2237" w:rsidRPr="00FB2237" w:rsidRDefault="00FB2237" w:rsidP="00FB2237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B2237">
              <w:rPr>
                <w:rFonts w:ascii="Calibri" w:eastAsia="Times New Roman" w:hAnsi="Calibri" w:cs="Times New Roman"/>
                <w:color w:val="000000"/>
                <w:lang w:val="gl-ES"/>
              </w:rPr>
              <w:t>28,4</w:t>
            </w:r>
          </w:p>
        </w:tc>
        <w:tc>
          <w:tcPr>
            <w:tcW w:w="0" w:type="auto"/>
            <w:hideMark/>
          </w:tcPr>
          <w:p w:rsidR="00FB2237" w:rsidRPr="00FB2237" w:rsidRDefault="00FB2237" w:rsidP="00FB2237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B2237">
              <w:rPr>
                <w:rFonts w:ascii="Calibri" w:eastAsia="Times New Roman" w:hAnsi="Calibri" w:cs="Times New Roman"/>
                <w:color w:val="000000"/>
                <w:lang w:val="gl-ES"/>
              </w:rPr>
              <w:t>33,7</w:t>
            </w:r>
          </w:p>
        </w:tc>
        <w:tc>
          <w:tcPr>
            <w:tcW w:w="0" w:type="auto"/>
            <w:hideMark/>
          </w:tcPr>
          <w:p w:rsidR="00FB2237" w:rsidRPr="00FB2237" w:rsidRDefault="00FB2237" w:rsidP="00FB2237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B2237">
              <w:rPr>
                <w:rFonts w:ascii="Calibri" w:eastAsia="Times New Roman" w:hAnsi="Calibri" w:cs="Times New Roman"/>
                <w:color w:val="000000"/>
                <w:lang w:val="gl-ES"/>
              </w:rPr>
              <w:t>22,8</w:t>
            </w:r>
          </w:p>
        </w:tc>
        <w:tc>
          <w:tcPr>
            <w:tcW w:w="0" w:type="auto"/>
            <w:noWrap/>
            <w:hideMark/>
          </w:tcPr>
          <w:p w:rsidR="00FB2237" w:rsidRPr="00FB2237" w:rsidRDefault="00FB2237" w:rsidP="00FB2237">
            <w:pPr>
              <w:jc w:val="right"/>
              <w:cnfStyle w:val="000000100000"/>
              <w:rPr>
                <w:rFonts w:ascii="Calibri" w:eastAsia="Times New Roman" w:hAnsi="Calibri" w:cs="Times New Roman"/>
                <w:color w:val="000000"/>
                <w:lang w:val="gl-ES"/>
              </w:rPr>
            </w:pPr>
            <w:r w:rsidRPr="00FB2237">
              <w:rPr>
                <w:rFonts w:ascii="Calibri" w:eastAsia="Times New Roman" w:hAnsi="Calibri" w:cs="Times New Roman"/>
                <w:color w:val="000000"/>
                <w:lang w:val="gl-ES"/>
              </w:rPr>
              <w:t>-10,9</w:t>
            </w:r>
          </w:p>
        </w:tc>
      </w:tr>
    </w:tbl>
    <w:p w:rsidR="00FB2237" w:rsidRPr="000449D3" w:rsidRDefault="00FB2237" w:rsidP="00FB2237">
      <w:pPr>
        <w:jc w:val="both"/>
        <w:rPr>
          <w:rFonts w:ascii="Arial" w:hAnsi="Arial" w:cs="Arial"/>
          <w:i/>
          <w:sz w:val="24"/>
          <w:szCs w:val="24"/>
          <w:lang w:val="gl-ES"/>
        </w:rPr>
      </w:pPr>
      <w:r w:rsidRPr="000449D3">
        <w:rPr>
          <w:rFonts w:ascii="Arial" w:hAnsi="Arial" w:cs="Arial"/>
          <w:i/>
          <w:sz w:val="24"/>
          <w:szCs w:val="24"/>
          <w:lang w:val="gl-ES"/>
        </w:rPr>
        <w:t>Fonte: IGE. Mostra continúa de vidas laborais.</w:t>
      </w:r>
    </w:p>
    <w:p w:rsidR="00FB2237" w:rsidRDefault="008F4DEC" w:rsidP="00A43D34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lastRenderedPageBreak/>
        <w:t>Xa entre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>
        <w:rPr>
          <w:rFonts w:ascii="Arial" w:hAnsi="Arial" w:cs="Arial"/>
          <w:sz w:val="24"/>
          <w:szCs w:val="24"/>
          <w:lang w:val="gl-ES"/>
        </w:rPr>
        <w:t>as máis nov</w:t>
      </w:r>
      <w:r w:rsidR="000449D3">
        <w:rPr>
          <w:rFonts w:ascii="Arial" w:hAnsi="Arial" w:cs="Arial"/>
          <w:sz w:val="24"/>
          <w:szCs w:val="24"/>
          <w:lang w:val="gl-ES"/>
        </w:rPr>
        <w:t>a</w:t>
      </w:r>
      <w:r>
        <w:rPr>
          <w:rFonts w:ascii="Arial" w:hAnsi="Arial" w:cs="Arial"/>
          <w:sz w:val="24"/>
          <w:szCs w:val="24"/>
          <w:lang w:val="gl-ES"/>
        </w:rPr>
        <w:t>s, con pouco máis dun ano cotizado á S</w:t>
      </w:r>
      <w:r w:rsidR="000449D3">
        <w:rPr>
          <w:rFonts w:ascii="Arial" w:hAnsi="Arial" w:cs="Arial"/>
          <w:sz w:val="24"/>
          <w:szCs w:val="24"/>
          <w:lang w:val="gl-ES"/>
        </w:rPr>
        <w:t>eguridade social</w:t>
      </w:r>
      <w:r>
        <w:rPr>
          <w:rFonts w:ascii="Arial" w:hAnsi="Arial" w:cs="Arial"/>
          <w:sz w:val="24"/>
          <w:szCs w:val="24"/>
          <w:lang w:val="gl-ES"/>
        </w:rPr>
        <w:t>, se rexistran diferenzas</w:t>
      </w:r>
      <w:r w:rsidR="000449D3">
        <w:rPr>
          <w:rFonts w:ascii="Arial" w:hAnsi="Arial" w:cs="Arial"/>
          <w:sz w:val="24"/>
          <w:szCs w:val="24"/>
          <w:lang w:val="gl-ES"/>
        </w:rPr>
        <w:t>. C</w:t>
      </w:r>
      <w:r>
        <w:rPr>
          <w:rFonts w:ascii="Arial" w:hAnsi="Arial" w:cs="Arial"/>
          <w:sz w:val="24"/>
          <w:szCs w:val="24"/>
          <w:lang w:val="gl-ES"/>
        </w:rPr>
        <w:t>on menos de 25 anos as mulleres teñen de media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>
        <w:rPr>
          <w:rFonts w:ascii="Arial" w:hAnsi="Arial" w:cs="Arial"/>
          <w:sz w:val="24"/>
          <w:szCs w:val="24"/>
          <w:lang w:val="gl-ES"/>
        </w:rPr>
        <w:t xml:space="preserve">1 ano e 2 meses cotizados, fronte </w:t>
      </w:r>
      <w:r w:rsidR="000449D3">
        <w:rPr>
          <w:rFonts w:ascii="Arial" w:hAnsi="Arial" w:cs="Arial"/>
          <w:sz w:val="24"/>
          <w:szCs w:val="24"/>
          <w:lang w:val="gl-ES"/>
        </w:rPr>
        <w:t>ao</w:t>
      </w:r>
      <w:r>
        <w:rPr>
          <w:rFonts w:ascii="Arial" w:hAnsi="Arial" w:cs="Arial"/>
          <w:sz w:val="24"/>
          <w:szCs w:val="24"/>
          <w:lang w:val="gl-ES"/>
        </w:rPr>
        <w:t>s homes da mesma idade</w:t>
      </w:r>
      <w:r w:rsidR="000449D3">
        <w:rPr>
          <w:rFonts w:ascii="Arial" w:hAnsi="Arial" w:cs="Arial"/>
          <w:sz w:val="24"/>
          <w:szCs w:val="24"/>
          <w:lang w:val="gl-ES"/>
        </w:rPr>
        <w:t xml:space="preserve">, con 1 ano e </w:t>
      </w:r>
      <w:r>
        <w:rPr>
          <w:rFonts w:ascii="Arial" w:hAnsi="Arial" w:cs="Arial"/>
          <w:sz w:val="24"/>
          <w:szCs w:val="24"/>
          <w:lang w:val="gl-ES"/>
        </w:rPr>
        <w:t>4 meses cotizados.</w:t>
      </w:r>
    </w:p>
    <w:p w:rsidR="008F4DEC" w:rsidRDefault="008F4DEC" w:rsidP="00A43D34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A medida que aumenta a idade, medran as diferenzas nos anos de cotización,</w:t>
      </w:r>
      <w:r w:rsidR="000449D3">
        <w:rPr>
          <w:rFonts w:ascii="Arial" w:hAnsi="Arial" w:cs="Arial"/>
          <w:sz w:val="24"/>
          <w:szCs w:val="24"/>
          <w:lang w:val="gl-ES"/>
        </w:rPr>
        <w:t xml:space="preserve"> ata chegar ás</w:t>
      </w:r>
      <w:r>
        <w:rPr>
          <w:rFonts w:ascii="Arial" w:hAnsi="Arial" w:cs="Arial"/>
          <w:sz w:val="24"/>
          <w:szCs w:val="24"/>
          <w:lang w:val="gl-ES"/>
        </w:rPr>
        <w:t xml:space="preserve"> de maior idade</w:t>
      </w:r>
      <w:r w:rsidR="000449D3">
        <w:rPr>
          <w:rFonts w:ascii="Arial" w:hAnsi="Arial" w:cs="Arial"/>
          <w:sz w:val="24"/>
          <w:szCs w:val="24"/>
          <w:lang w:val="gl-ES"/>
        </w:rPr>
        <w:t>, en que esta diferenza</w:t>
      </w:r>
      <w:r>
        <w:rPr>
          <w:rFonts w:ascii="Arial" w:hAnsi="Arial" w:cs="Arial"/>
          <w:sz w:val="24"/>
          <w:szCs w:val="24"/>
          <w:lang w:val="gl-ES"/>
        </w:rPr>
        <w:t xml:space="preserve"> é de pre</w:t>
      </w:r>
      <w:r w:rsidR="000449D3">
        <w:rPr>
          <w:rFonts w:ascii="Arial" w:hAnsi="Arial" w:cs="Arial"/>
          <w:sz w:val="24"/>
          <w:szCs w:val="24"/>
          <w:lang w:val="gl-ES"/>
        </w:rPr>
        <w:t>to de 11 anos, concretamente 10 anos e 9 meses.</w:t>
      </w:r>
    </w:p>
    <w:p w:rsidR="00FB2237" w:rsidRDefault="00EB0A95" w:rsidP="00A43D34">
      <w:pPr>
        <w:jc w:val="both"/>
        <w:rPr>
          <w:rFonts w:ascii="Arial" w:hAnsi="Arial" w:cs="Arial"/>
          <w:sz w:val="24"/>
          <w:szCs w:val="24"/>
          <w:lang w:val="gl-ES"/>
        </w:rPr>
      </w:pPr>
      <w:r>
        <w:rPr>
          <w:rFonts w:ascii="Arial" w:hAnsi="Arial" w:cs="Arial"/>
          <w:sz w:val="24"/>
          <w:szCs w:val="24"/>
          <w:lang w:val="gl-ES"/>
        </w:rPr>
        <w:t>Condicións laborais máis adversas</w:t>
      </w:r>
      <w:r w:rsidR="00E0318E">
        <w:rPr>
          <w:rFonts w:ascii="Arial" w:hAnsi="Arial" w:cs="Arial"/>
          <w:sz w:val="24"/>
          <w:szCs w:val="24"/>
          <w:lang w:val="gl-ES"/>
        </w:rPr>
        <w:t>:</w:t>
      </w:r>
      <w:r>
        <w:rPr>
          <w:rFonts w:ascii="Arial" w:hAnsi="Arial" w:cs="Arial"/>
          <w:sz w:val="24"/>
          <w:szCs w:val="24"/>
          <w:lang w:val="gl-ES"/>
        </w:rPr>
        <w:t xml:space="preserve"> maiores xornadas parciais, maior proporción de contratos temporais, maior rotación no emprego,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>
        <w:rPr>
          <w:rFonts w:ascii="Arial" w:hAnsi="Arial" w:cs="Arial"/>
          <w:sz w:val="24"/>
          <w:szCs w:val="24"/>
          <w:lang w:val="gl-ES"/>
        </w:rPr>
        <w:t xml:space="preserve">maiores </w:t>
      </w:r>
      <w:r w:rsidR="00724403">
        <w:rPr>
          <w:rFonts w:ascii="Arial" w:hAnsi="Arial" w:cs="Arial"/>
          <w:sz w:val="24"/>
          <w:szCs w:val="24"/>
          <w:lang w:val="gl-ES"/>
        </w:rPr>
        <w:t>lagoas</w:t>
      </w:r>
      <w:r>
        <w:rPr>
          <w:rFonts w:ascii="Arial" w:hAnsi="Arial" w:cs="Arial"/>
          <w:sz w:val="24"/>
          <w:szCs w:val="24"/>
          <w:lang w:val="gl-ES"/>
        </w:rPr>
        <w:t xml:space="preserve"> de cotización debido </w:t>
      </w:r>
      <w:r w:rsidR="000449D3">
        <w:rPr>
          <w:rFonts w:ascii="Arial" w:hAnsi="Arial" w:cs="Arial"/>
          <w:sz w:val="24"/>
          <w:szCs w:val="24"/>
          <w:lang w:val="gl-ES"/>
        </w:rPr>
        <w:t>á</w:t>
      </w:r>
      <w:r>
        <w:rPr>
          <w:rFonts w:ascii="Arial" w:hAnsi="Arial" w:cs="Arial"/>
          <w:sz w:val="24"/>
          <w:szCs w:val="24"/>
          <w:lang w:val="gl-ES"/>
        </w:rPr>
        <w:t xml:space="preserve"> dedicación </w:t>
      </w:r>
      <w:r w:rsidR="000449D3">
        <w:rPr>
          <w:rFonts w:ascii="Arial" w:hAnsi="Arial" w:cs="Arial"/>
          <w:sz w:val="24"/>
          <w:szCs w:val="24"/>
          <w:lang w:val="gl-ES"/>
        </w:rPr>
        <w:t>ás</w:t>
      </w:r>
      <w:r>
        <w:rPr>
          <w:rFonts w:ascii="Arial" w:hAnsi="Arial" w:cs="Arial"/>
          <w:sz w:val="24"/>
          <w:szCs w:val="24"/>
          <w:lang w:val="gl-ES"/>
        </w:rPr>
        <w:t xml:space="preserve"> </w:t>
      </w:r>
      <w:r w:rsidR="000449D3">
        <w:rPr>
          <w:rFonts w:ascii="Arial" w:hAnsi="Arial" w:cs="Arial"/>
          <w:sz w:val="24"/>
          <w:szCs w:val="24"/>
          <w:lang w:val="gl-ES"/>
        </w:rPr>
        <w:t xml:space="preserve">persoas </w:t>
      </w:r>
      <w:r>
        <w:rPr>
          <w:rFonts w:ascii="Arial" w:hAnsi="Arial" w:cs="Arial"/>
          <w:sz w:val="24"/>
          <w:szCs w:val="24"/>
          <w:lang w:val="gl-ES"/>
        </w:rPr>
        <w:t>dependentes</w:t>
      </w:r>
      <w:r w:rsidR="000449D3">
        <w:rPr>
          <w:rFonts w:ascii="Arial" w:hAnsi="Arial" w:cs="Arial"/>
          <w:sz w:val="24"/>
          <w:szCs w:val="24"/>
          <w:lang w:val="gl-ES"/>
        </w:rPr>
        <w:t>, etc., fa</w:t>
      </w:r>
      <w:r>
        <w:rPr>
          <w:rFonts w:ascii="Arial" w:hAnsi="Arial" w:cs="Arial"/>
          <w:sz w:val="24"/>
          <w:szCs w:val="24"/>
          <w:lang w:val="gl-ES"/>
        </w:rPr>
        <w:t xml:space="preserve">n que </w:t>
      </w:r>
      <w:r w:rsidR="000449D3">
        <w:rPr>
          <w:rFonts w:ascii="Arial" w:hAnsi="Arial" w:cs="Arial"/>
          <w:sz w:val="24"/>
          <w:szCs w:val="24"/>
          <w:lang w:val="gl-ES"/>
        </w:rPr>
        <w:t>a</w:t>
      </w:r>
      <w:r>
        <w:rPr>
          <w:rFonts w:ascii="Arial" w:hAnsi="Arial" w:cs="Arial"/>
          <w:sz w:val="24"/>
          <w:szCs w:val="24"/>
          <w:lang w:val="gl-ES"/>
        </w:rPr>
        <w:t xml:space="preserve">o longo da vida laboral se vaian incrementando as diferenzas dos anos e das </w:t>
      </w:r>
      <w:r w:rsidR="00724403">
        <w:rPr>
          <w:rFonts w:ascii="Arial" w:hAnsi="Arial" w:cs="Arial"/>
          <w:sz w:val="24"/>
          <w:szCs w:val="24"/>
          <w:lang w:val="gl-ES"/>
        </w:rPr>
        <w:t>contías</w:t>
      </w:r>
      <w:r>
        <w:rPr>
          <w:rFonts w:ascii="Arial" w:hAnsi="Arial" w:cs="Arial"/>
          <w:sz w:val="24"/>
          <w:szCs w:val="24"/>
          <w:lang w:val="gl-ES"/>
        </w:rPr>
        <w:t xml:space="preserve"> de cotización</w:t>
      </w:r>
      <w:r w:rsidR="000449D3">
        <w:rPr>
          <w:rFonts w:ascii="Arial" w:hAnsi="Arial" w:cs="Arial"/>
          <w:sz w:val="24"/>
          <w:szCs w:val="24"/>
          <w:lang w:val="gl-ES"/>
        </w:rPr>
        <w:t xml:space="preserve">. E </w:t>
      </w:r>
      <w:r>
        <w:rPr>
          <w:rFonts w:ascii="Arial" w:hAnsi="Arial" w:cs="Arial"/>
          <w:sz w:val="24"/>
          <w:szCs w:val="24"/>
          <w:lang w:val="gl-ES"/>
        </w:rPr>
        <w:t>así cando chega a idade de xubilación, de media</w:t>
      </w:r>
      <w:r w:rsidR="000449D3">
        <w:rPr>
          <w:rFonts w:ascii="Arial" w:hAnsi="Arial" w:cs="Arial"/>
          <w:sz w:val="24"/>
          <w:szCs w:val="24"/>
          <w:lang w:val="gl-ES"/>
        </w:rPr>
        <w:t>,</w:t>
      </w:r>
      <w:r>
        <w:rPr>
          <w:rFonts w:ascii="Arial" w:hAnsi="Arial" w:cs="Arial"/>
          <w:sz w:val="24"/>
          <w:szCs w:val="24"/>
          <w:lang w:val="gl-ES"/>
        </w:rPr>
        <w:t xml:space="preserve"> unha muller</w:t>
      </w:r>
      <w:r w:rsidR="00E0318E">
        <w:rPr>
          <w:rFonts w:ascii="Arial" w:hAnsi="Arial" w:cs="Arial"/>
          <w:sz w:val="24"/>
          <w:szCs w:val="24"/>
          <w:lang w:val="gl-ES"/>
        </w:rPr>
        <w:t xml:space="preserve"> de 65 anos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>
        <w:rPr>
          <w:rFonts w:ascii="Arial" w:hAnsi="Arial" w:cs="Arial"/>
          <w:sz w:val="24"/>
          <w:szCs w:val="24"/>
          <w:lang w:val="gl-ES"/>
        </w:rPr>
        <w:t xml:space="preserve">ten </w:t>
      </w:r>
      <w:r w:rsidR="000449D3">
        <w:rPr>
          <w:rFonts w:ascii="Arial" w:hAnsi="Arial" w:cs="Arial"/>
          <w:sz w:val="24"/>
          <w:szCs w:val="24"/>
          <w:lang w:val="gl-ES"/>
        </w:rPr>
        <w:t xml:space="preserve">apenas </w:t>
      </w:r>
      <w:r>
        <w:rPr>
          <w:rFonts w:ascii="Arial" w:hAnsi="Arial" w:cs="Arial"/>
          <w:sz w:val="24"/>
          <w:szCs w:val="24"/>
          <w:lang w:val="gl-ES"/>
        </w:rPr>
        <w:t xml:space="preserve">22,8 anos cotizados fronte </w:t>
      </w:r>
      <w:r w:rsidR="000449D3">
        <w:rPr>
          <w:rFonts w:ascii="Arial" w:hAnsi="Arial" w:cs="Arial"/>
          <w:sz w:val="24"/>
          <w:szCs w:val="24"/>
          <w:lang w:val="gl-ES"/>
        </w:rPr>
        <w:t>a</w:t>
      </w:r>
      <w:r>
        <w:rPr>
          <w:rFonts w:ascii="Arial" w:hAnsi="Arial" w:cs="Arial"/>
          <w:sz w:val="24"/>
          <w:szCs w:val="24"/>
          <w:lang w:val="gl-ES"/>
        </w:rPr>
        <w:t>os 33,</w:t>
      </w:r>
      <w:r w:rsidR="00E0318E">
        <w:rPr>
          <w:rFonts w:ascii="Arial" w:hAnsi="Arial" w:cs="Arial"/>
          <w:sz w:val="24"/>
          <w:szCs w:val="24"/>
          <w:lang w:val="gl-ES"/>
        </w:rPr>
        <w:t>7</w:t>
      </w:r>
      <w:r>
        <w:rPr>
          <w:rFonts w:ascii="Arial" w:hAnsi="Arial" w:cs="Arial"/>
          <w:sz w:val="24"/>
          <w:szCs w:val="24"/>
          <w:lang w:val="gl-ES"/>
        </w:rPr>
        <w:t xml:space="preserve"> </w:t>
      </w:r>
      <w:r w:rsidR="000449D3">
        <w:rPr>
          <w:rFonts w:ascii="Arial" w:hAnsi="Arial" w:cs="Arial"/>
          <w:sz w:val="24"/>
          <w:szCs w:val="24"/>
          <w:lang w:val="gl-ES"/>
        </w:rPr>
        <w:t xml:space="preserve">anos cotizados </w:t>
      </w:r>
      <w:r>
        <w:rPr>
          <w:rFonts w:ascii="Arial" w:hAnsi="Arial" w:cs="Arial"/>
          <w:sz w:val="24"/>
          <w:szCs w:val="24"/>
          <w:lang w:val="gl-ES"/>
        </w:rPr>
        <w:t>dos homes.</w:t>
      </w:r>
      <w:r w:rsidR="00724403">
        <w:rPr>
          <w:rFonts w:ascii="Arial" w:hAnsi="Arial" w:cs="Arial"/>
          <w:sz w:val="24"/>
          <w:szCs w:val="24"/>
          <w:lang w:val="gl-ES"/>
        </w:rPr>
        <w:t xml:space="preserve"> </w:t>
      </w:r>
      <w:r w:rsidR="00E0318E">
        <w:rPr>
          <w:rFonts w:ascii="Arial" w:hAnsi="Arial" w:cs="Arial"/>
          <w:sz w:val="24"/>
          <w:szCs w:val="24"/>
          <w:lang w:val="gl-ES"/>
        </w:rPr>
        <w:t xml:space="preserve">A combinación de todos estes factores leva </w:t>
      </w:r>
      <w:r w:rsidR="000449D3">
        <w:rPr>
          <w:rFonts w:ascii="Arial" w:hAnsi="Arial" w:cs="Arial"/>
          <w:sz w:val="24"/>
          <w:szCs w:val="24"/>
          <w:lang w:val="gl-ES"/>
        </w:rPr>
        <w:t>á</w:t>
      </w:r>
      <w:r w:rsidR="00E0318E">
        <w:rPr>
          <w:rFonts w:ascii="Arial" w:hAnsi="Arial" w:cs="Arial"/>
          <w:sz w:val="24"/>
          <w:szCs w:val="24"/>
          <w:lang w:val="gl-ES"/>
        </w:rPr>
        <w:t xml:space="preserve"> enorme fenda entre pensionistas de distinto sexo.</w:t>
      </w:r>
    </w:p>
    <w:p w:rsidR="00292F49" w:rsidRDefault="00292F49" w:rsidP="00A43D34">
      <w:pPr>
        <w:jc w:val="both"/>
        <w:rPr>
          <w:rFonts w:ascii="Arial" w:hAnsi="Arial" w:cs="Arial"/>
          <w:sz w:val="24"/>
          <w:szCs w:val="24"/>
          <w:lang w:val="gl-ES"/>
        </w:rPr>
      </w:pPr>
    </w:p>
    <w:p w:rsidR="000449D3" w:rsidRDefault="00292F49" w:rsidP="00A43D34">
      <w:pPr>
        <w:jc w:val="both"/>
        <w:rPr>
          <w:rFonts w:ascii="Arial" w:hAnsi="Arial" w:cs="Arial"/>
          <w:sz w:val="24"/>
          <w:szCs w:val="24"/>
          <w:lang w:val="gl-ES"/>
        </w:rPr>
      </w:pPr>
      <w:r w:rsidRPr="00292F49">
        <w:rPr>
          <w:rFonts w:ascii="Arial" w:hAnsi="Arial" w:cs="Arial"/>
          <w:sz w:val="24"/>
          <w:szCs w:val="24"/>
          <w:lang w:val="gl-ES"/>
        </w:rPr>
        <w:t>Por todos estes motivos, desde a CIG facemos un chamamento a suspender todo tipo de actividade durante as tres quendas de traballo do día 8 de marzo, de 0 a 2 da madrugada, de 12 a 14 horas e de 19:30 a 21:30 horas, dando cobertura legal a todas as traballadoras galegas de todos os sectores produtivos e de todos os centros de traballo, para participarmos neste día de protesta, reivindicación e mobilización, facendo folga no traballo asalariado, folga de consumo, folga de brazos cruzados nas tarefas de coidado, boicot ás empresas con publicidade ou reclamo sexista, e a mobilizarse participando de xeito activo na xornada, concienciando do traballo que facemos as mulleres na esfera produtiva e reprodutiva, que o noso papel na sociedade non é subsidiario, que somos a metade de Galiza, a metade do mundo. Imos demostrar que o mundo non xira igual se paramos as mulleres. Sóbrannos razóns para irmos á folga.</w:t>
      </w:r>
    </w:p>
    <w:sectPr w:rsidR="000449D3" w:rsidSect="002C41B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4E1" w:rsidRDefault="008864E1" w:rsidP="008843EC">
      <w:pPr>
        <w:spacing w:after="0" w:line="240" w:lineRule="auto"/>
      </w:pPr>
      <w:r>
        <w:separator/>
      </w:r>
    </w:p>
  </w:endnote>
  <w:endnote w:type="continuationSeparator" w:id="1">
    <w:p w:rsidR="008864E1" w:rsidRDefault="008864E1" w:rsidP="00884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3EC" w:rsidRDefault="008843E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25034"/>
      <w:docPartObj>
        <w:docPartGallery w:val="Page Numbers (Bottom of Page)"/>
        <w:docPartUnique/>
      </w:docPartObj>
    </w:sdtPr>
    <w:sdtContent>
      <w:p w:rsidR="008843EC" w:rsidRDefault="008843EC">
        <w:pPr>
          <w:pStyle w:val="Piedepgina"/>
          <w:jc w:val="center"/>
        </w:pPr>
        <w:fldSimple w:instr=" PAGE   \* MERGEFORMAT ">
          <w:r>
            <w:rPr>
              <w:noProof/>
            </w:rPr>
            <w:t>11</w:t>
          </w:r>
        </w:fldSimple>
      </w:p>
    </w:sdtContent>
  </w:sdt>
  <w:p w:rsidR="008843EC" w:rsidRDefault="008843EC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3EC" w:rsidRDefault="008843E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4E1" w:rsidRDefault="008864E1" w:rsidP="008843EC">
      <w:pPr>
        <w:spacing w:after="0" w:line="240" w:lineRule="auto"/>
      </w:pPr>
      <w:r>
        <w:separator/>
      </w:r>
    </w:p>
  </w:footnote>
  <w:footnote w:type="continuationSeparator" w:id="1">
    <w:p w:rsidR="008864E1" w:rsidRDefault="008864E1" w:rsidP="00884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3EC" w:rsidRDefault="008843E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3EC" w:rsidRDefault="008843EC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43EC" w:rsidRDefault="008843EC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58F2"/>
    <w:rsid w:val="000449D3"/>
    <w:rsid w:val="00084389"/>
    <w:rsid w:val="000A1F1D"/>
    <w:rsid w:val="000C17A0"/>
    <w:rsid w:val="000D329A"/>
    <w:rsid w:val="000D3342"/>
    <w:rsid w:val="00121FA6"/>
    <w:rsid w:val="00150A83"/>
    <w:rsid w:val="00173BA9"/>
    <w:rsid w:val="00196A96"/>
    <w:rsid w:val="001A7465"/>
    <w:rsid w:val="001E3427"/>
    <w:rsid w:val="001E4F18"/>
    <w:rsid w:val="001F0546"/>
    <w:rsid w:val="0023074D"/>
    <w:rsid w:val="00230D90"/>
    <w:rsid w:val="00247C4D"/>
    <w:rsid w:val="002519FA"/>
    <w:rsid w:val="00253609"/>
    <w:rsid w:val="00272A2F"/>
    <w:rsid w:val="00280A7A"/>
    <w:rsid w:val="00292F49"/>
    <w:rsid w:val="002A7605"/>
    <w:rsid w:val="002C24F9"/>
    <w:rsid w:val="002C41B0"/>
    <w:rsid w:val="002F5C45"/>
    <w:rsid w:val="003171AB"/>
    <w:rsid w:val="00331819"/>
    <w:rsid w:val="00342A60"/>
    <w:rsid w:val="003500C7"/>
    <w:rsid w:val="003758C2"/>
    <w:rsid w:val="003D1132"/>
    <w:rsid w:val="003F44EB"/>
    <w:rsid w:val="003F6838"/>
    <w:rsid w:val="003F6EBF"/>
    <w:rsid w:val="0040696B"/>
    <w:rsid w:val="004222AB"/>
    <w:rsid w:val="004242CA"/>
    <w:rsid w:val="00425407"/>
    <w:rsid w:val="00454AC6"/>
    <w:rsid w:val="00461778"/>
    <w:rsid w:val="00464DC1"/>
    <w:rsid w:val="00481C93"/>
    <w:rsid w:val="004B0FC2"/>
    <w:rsid w:val="004E08C4"/>
    <w:rsid w:val="004E1D21"/>
    <w:rsid w:val="0054516C"/>
    <w:rsid w:val="00550B21"/>
    <w:rsid w:val="005A7D4D"/>
    <w:rsid w:val="005C309D"/>
    <w:rsid w:val="005D03E9"/>
    <w:rsid w:val="00603C15"/>
    <w:rsid w:val="0060656E"/>
    <w:rsid w:val="006153B9"/>
    <w:rsid w:val="006213DF"/>
    <w:rsid w:val="00635009"/>
    <w:rsid w:val="00637539"/>
    <w:rsid w:val="0067167C"/>
    <w:rsid w:val="0068151D"/>
    <w:rsid w:val="00695DF2"/>
    <w:rsid w:val="006B039E"/>
    <w:rsid w:val="006C4606"/>
    <w:rsid w:val="006D09C9"/>
    <w:rsid w:val="0070659D"/>
    <w:rsid w:val="00724403"/>
    <w:rsid w:val="00724C5C"/>
    <w:rsid w:val="00732F3D"/>
    <w:rsid w:val="00760F19"/>
    <w:rsid w:val="00761292"/>
    <w:rsid w:val="007806B2"/>
    <w:rsid w:val="007829F2"/>
    <w:rsid w:val="007922BA"/>
    <w:rsid w:val="007D4C1D"/>
    <w:rsid w:val="007E1DB1"/>
    <w:rsid w:val="007E26DE"/>
    <w:rsid w:val="007E686A"/>
    <w:rsid w:val="007F3193"/>
    <w:rsid w:val="007F6A1B"/>
    <w:rsid w:val="00800575"/>
    <w:rsid w:val="00802F1F"/>
    <w:rsid w:val="00813D74"/>
    <w:rsid w:val="00822E72"/>
    <w:rsid w:val="0084212C"/>
    <w:rsid w:val="008500B7"/>
    <w:rsid w:val="008510A3"/>
    <w:rsid w:val="008529A0"/>
    <w:rsid w:val="008618FF"/>
    <w:rsid w:val="00865AA7"/>
    <w:rsid w:val="008843EC"/>
    <w:rsid w:val="008864E1"/>
    <w:rsid w:val="00892228"/>
    <w:rsid w:val="008B4B8E"/>
    <w:rsid w:val="008B7CF6"/>
    <w:rsid w:val="008C58F2"/>
    <w:rsid w:val="008E4A1A"/>
    <w:rsid w:val="008E641C"/>
    <w:rsid w:val="008F11BA"/>
    <w:rsid w:val="008F1AEA"/>
    <w:rsid w:val="008F3E6B"/>
    <w:rsid w:val="008F4DEC"/>
    <w:rsid w:val="009029AB"/>
    <w:rsid w:val="0090628A"/>
    <w:rsid w:val="00926600"/>
    <w:rsid w:val="0094104A"/>
    <w:rsid w:val="00943F7C"/>
    <w:rsid w:val="00945AFD"/>
    <w:rsid w:val="009550D3"/>
    <w:rsid w:val="00991954"/>
    <w:rsid w:val="00996FCC"/>
    <w:rsid w:val="009B05B4"/>
    <w:rsid w:val="009D35D1"/>
    <w:rsid w:val="009F649E"/>
    <w:rsid w:val="00A02AC6"/>
    <w:rsid w:val="00A43D34"/>
    <w:rsid w:val="00A617B4"/>
    <w:rsid w:val="00A81E1A"/>
    <w:rsid w:val="00A861FB"/>
    <w:rsid w:val="00AC5FD9"/>
    <w:rsid w:val="00AF48DA"/>
    <w:rsid w:val="00B0339D"/>
    <w:rsid w:val="00B0700C"/>
    <w:rsid w:val="00B318F4"/>
    <w:rsid w:val="00B469D1"/>
    <w:rsid w:val="00B533CD"/>
    <w:rsid w:val="00B56C2B"/>
    <w:rsid w:val="00B647E2"/>
    <w:rsid w:val="00B65732"/>
    <w:rsid w:val="00B773B0"/>
    <w:rsid w:val="00B91C1B"/>
    <w:rsid w:val="00B97BD3"/>
    <w:rsid w:val="00BA19D9"/>
    <w:rsid w:val="00BA2857"/>
    <w:rsid w:val="00BA432E"/>
    <w:rsid w:val="00BA5C54"/>
    <w:rsid w:val="00BB2ECD"/>
    <w:rsid w:val="00BB7AD5"/>
    <w:rsid w:val="00BC2C99"/>
    <w:rsid w:val="00BC6354"/>
    <w:rsid w:val="00BD2BDA"/>
    <w:rsid w:val="00C02A45"/>
    <w:rsid w:val="00C102E6"/>
    <w:rsid w:val="00C313C8"/>
    <w:rsid w:val="00C34359"/>
    <w:rsid w:val="00C44769"/>
    <w:rsid w:val="00C467B4"/>
    <w:rsid w:val="00C57EFF"/>
    <w:rsid w:val="00C71445"/>
    <w:rsid w:val="00C714CD"/>
    <w:rsid w:val="00C77E70"/>
    <w:rsid w:val="00CC1BD5"/>
    <w:rsid w:val="00CC3EED"/>
    <w:rsid w:val="00CC6AFC"/>
    <w:rsid w:val="00CD00DD"/>
    <w:rsid w:val="00CD128F"/>
    <w:rsid w:val="00CD20CA"/>
    <w:rsid w:val="00CE2B9E"/>
    <w:rsid w:val="00D12966"/>
    <w:rsid w:val="00D1306F"/>
    <w:rsid w:val="00D30170"/>
    <w:rsid w:val="00D5022C"/>
    <w:rsid w:val="00D57545"/>
    <w:rsid w:val="00D57698"/>
    <w:rsid w:val="00D912DD"/>
    <w:rsid w:val="00D96D39"/>
    <w:rsid w:val="00DA3337"/>
    <w:rsid w:val="00DA53BA"/>
    <w:rsid w:val="00DB3FE8"/>
    <w:rsid w:val="00DD67F5"/>
    <w:rsid w:val="00DE510E"/>
    <w:rsid w:val="00DE7B87"/>
    <w:rsid w:val="00DF4EF8"/>
    <w:rsid w:val="00E0318E"/>
    <w:rsid w:val="00E11F69"/>
    <w:rsid w:val="00E14AC9"/>
    <w:rsid w:val="00E1611D"/>
    <w:rsid w:val="00E3282E"/>
    <w:rsid w:val="00E551E6"/>
    <w:rsid w:val="00EA28BA"/>
    <w:rsid w:val="00EA2EB5"/>
    <w:rsid w:val="00EA38C8"/>
    <w:rsid w:val="00EB0A95"/>
    <w:rsid w:val="00EC7D24"/>
    <w:rsid w:val="00EE51F7"/>
    <w:rsid w:val="00EE5633"/>
    <w:rsid w:val="00EE6D62"/>
    <w:rsid w:val="00F34B22"/>
    <w:rsid w:val="00F374DB"/>
    <w:rsid w:val="00F43AC8"/>
    <w:rsid w:val="00F44A5B"/>
    <w:rsid w:val="00F44DD5"/>
    <w:rsid w:val="00F72672"/>
    <w:rsid w:val="00F84636"/>
    <w:rsid w:val="00F932EF"/>
    <w:rsid w:val="00F96A0B"/>
    <w:rsid w:val="00FA6D90"/>
    <w:rsid w:val="00FB1CA3"/>
    <w:rsid w:val="00FB2237"/>
    <w:rsid w:val="00FC15FD"/>
    <w:rsid w:val="00FC5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1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5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8F2"/>
    <w:rPr>
      <w:rFonts w:ascii="Tahoma" w:hAnsi="Tahoma" w:cs="Tahoma"/>
      <w:sz w:val="16"/>
      <w:szCs w:val="16"/>
    </w:rPr>
  </w:style>
  <w:style w:type="table" w:styleId="Sombreadoclaro-nfasis4">
    <w:name w:val="Light Shading Accent 4"/>
    <w:basedOn w:val="Tablanormal"/>
    <w:uiPriority w:val="60"/>
    <w:rsid w:val="000D329A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Encabezado">
    <w:name w:val="header"/>
    <w:basedOn w:val="Normal"/>
    <w:link w:val="EncabezadoCar"/>
    <w:uiPriority w:val="99"/>
    <w:semiHidden/>
    <w:unhideWhenUsed/>
    <w:rsid w:val="00884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843EC"/>
  </w:style>
  <w:style w:type="paragraph" w:styleId="Piedepgina">
    <w:name w:val="footer"/>
    <w:basedOn w:val="Normal"/>
    <w:link w:val="PiedepginaCar"/>
    <w:uiPriority w:val="99"/>
    <w:unhideWhenUsed/>
    <w:rsid w:val="00884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chart" Target="charts/chart3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_Traballo\DOC\MULLER\2017\2017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_Traballo\DOC\MULLER\2017\2017l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_Traballo\DOC\MULLER\2017\2017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_Traballo\DOC\MULLER\2017\2017l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_Traballo\DOC\MULLER\2017\2017l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_Traballo\DOC\MULLER\2017\2017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plotArea>
      <c:layout>
        <c:manualLayout>
          <c:layoutTarget val="inner"/>
          <c:xMode val="edge"/>
          <c:yMode val="edge"/>
          <c:x val="0.13366105832515615"/>
          <c:y val="0.1101026987011241"/>
          <c:w val="0.80149598321486415"/>
          <c:h val="0.70199394306481189"/>
        </c:manualLayout>
      </c:layout>
      <c:barChart>
        <c:barDir val="col"/>
        <c:grouping val="clustered"/>
        <c:ser>
          <c:idx val="0"/>
          <c:order val="0"/>
          <c:cat>
            <c:strRef>
              <c:f>Hoja2!$A$19:$A$27</c:f>
              <c:strCache>
                <c:ptCount val="9"/>
                <c:pt idx="0">
                  <c:v>                  2008</c:v>
                </c:pt>
                <c:pt idx="1">
                  <c:v>                  2009</c:v>
                </c:pt>
                <c:pt idx="2">
                  <c:v>                  2010</c:v>
                </c:pt>
                <c:pt idx="3">
                  <c:v>                  2011</c:v>
                </c:pt>
                <c:pt idx="4">
                  <c:v>                  2012</c:v>
                </c:pt>
                <c:pt idx="5">
                  <c:v>                  2013</c:v>
                </c:pt>
                <c:pt idx="6">
                  <c:v>                  2014</c:v>
                </c:pt>
                <c:pt idx="7">
                  <c:v>                  2015</c:v>
                </c:pt>
                <c:pt idx="8">
                  <c:v>                  2016</c:v>
                </c:pt>
              </c:strCache>
            </c:strRef>
          </c:cat>
          <c:val>
            <c:numRef>
              <c:f>Hoja2!$B$19:$B$27</c:f>
              <c:numCache>
                <c:formatCode>0.0</c:formatCode>
                <c:ptCount val="9"/>
                <c:pt idx="0">
                  <c:v>25.466586393738602</c:v>
                </c:pt>
                <c:pt idx="1">
                  <c:v>23.072369394701685</c:v>
                </c:pt>
                <c:pt idx="2">
                  <c:v>23.049784398275186</c:v>
                </c:pt>
                <c:pt idx="3">
                  <c:v>23.071642230176835</c:v>
                </c:pt>
                <c:pt idx="4">
                  <c:v>23.347596274855189</c:v>
                </c:pt>
                <c:pt idx="5">
                  <c:v>22.386478304742681</c:v>
                </c:pt>
                <c:pt idx="6">
                  <c:v>21.938620480097189</c:v>
                </c:pt>
                <c:pt idx="7">
                  <c:v>22.101613146389269</c:v>
                </c:pt>
                <c:pt idx="8">
                  <c:v>22.294126364669189</c:v>
                </c:pt>
              </c:numCache>
            </c:numRef>
          </c:val>
        </c:ser>
        <c:axId val="112212608"/>
        <c:axId val="114372992"/>
      </c:barChart>
      <c:catAx>
        <c:axId val="112212608"/>
        <c:scaling>
          <c:orientation val="minMax"/>
        </c:scaling>
        <c:axPos val="b"/>
        <c:tickLblPos val="nextTo"/>
        <c:txPr>
          <a:bodyPr/>
          <a:lstStyle/>
          <a:p>
            <a:pPr>
              <a:defRPr lang="gl-ES"/>
            </a:pPr>
            <a:endParaRPr lang="es-ES"/>
          </a:p>
        </c:txPr>
        <c:crossAx val="114372992"/>
        <c:crosses val="autoZero"/>
        <c:auto val="1"/>
        <c:lblAlgn val="ctr"/>
        <c:lblOffset val="100"/>
      </c:catAx>
      <c:valAx>
        <c:axId val="114372992"/>
        <c:scaling>
          <c:orientation val="minMax"/>
        </c:scaling>
        <c:axPos val="l"/>
        <c:majorGridlines/>
        <c:numFmt formatCode="0.0" sourceLinked="1"/>
        <c:tickLblPos val="nextTo"/>
        <c:txPr>
          <a:bodyPr/>
          <a:lstStyle/>
          <a:p>
            <a:pPr>
              <a:defRPr lang="gl-ES"/>
            </a:pPr>
            <a:endParaRPr lang="es-ES"/>
          </a:p>
        </c:txPr>
        <c:crossAx val="112212608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plotArea>
      <c:layout/>
      <c:barChart>
        <c:barDir val="bar"/>
        <c:grouping val="clustered"/>
        <c:ser>
          <c:idx val="0"/>
          <c:order val="0"/>
          <c:tx>
            <c:strRef>
              <c:f>Hoja1!$B$93:$B$94</c:f>
              <c:strCache>
                <c:ptCount val="1"/>
                <c:pt idx="0">
                  <c:v>home SMA</c:v>
                </c:pt>
              </c:strCache>
            </c:strRef>
          </c:tx>
          <c:cat>
            <c:strRef>
              <c:f>Hoja1!$A$95:$A$106</c:f>
              <c:strCache>
                <c:ptCount val="12"/>
                <c:pt idx="0">
                  <c:v>Galicia</c:v>
                </c:pt>
                <c:pt idx="1">
                  <c:v>      Total sectores</c:v>
                </c:pt>
                <c:pt idx="2">
                  <c:v>      Agricultura, gandería, silvicultura e pesca</c:v>
                </c:pt>
                <c:pt idx="3">
                  <c:v>      Industria extractiva, enerxía e auga</c:v>
                </c:pt>
                <c:pt idx="4">
                  <c:v>      Industria</c:v>
                </c:pt>
                <c:pt idx="5">
                  <c:v>      Construción e actividades inmobiliarias</c:v>
                </c:pt>
                <c:pt idx="6">
                  <c:v>      Comercio, reparacións e transporte</c:v>
                </c:pt>
                <c:pt idx="7">
                  <c:v>      Información e comunicacións</c:v>
                </c:pt>
                <c:pt idx="8">
                  <c:v>      Entidades financeiras e aseguradoras</c:v>
                </c:pt>
                <c:pt idx="9">
                  <c:v>      Servizos ás empresas</c:v>
                </c:pt>
                <c:pt idx="10">
                  <c:v>      Servizos sociais</c:v>
                </c:pt>
                <c:pt idx="11">
                  <c:v>      Outros servizos persoais e de ocio</c:v>
                </c:pt>
              </c:strCache>
            </c:strRef>
          </c:cat>
          <c:val>
            <c:numRef>
              <c:f>Hoja1!$B$95:$B$106</c:f>
              <c:numCache>
                <c:formatCode>#,##0</c:formatCode>
                <c:ptCount val="12"/>
                <c:pt idx="1">
                  <c:v>20243</c:v>
                </c:pt>
                <c:pt idx="2">
                  <c:v>15159</c:v>
                </c:pt>
                <c:pt idx="3">
                  <c:v>29207</c:v>
                </c:pt>
                <c:pt idx="4">
                  <c:v>22861</c:v>
                </c:pt>
                <c:pt idx="5">
                  <c:v>17180</c:v>
                </c:pt>
                <c:pt idx="6">
                  <c:v>19494</c:v>
                </c:pt>
                <c:pt idx="7">
                  <c:v>25316</c:v>
                </c:pt>
                <c:pt idx="8">
                  <c:v>37484</c:v>
                </c:pt>
                <c:pt idx="9">
                  <c:v>16726</c:v>
                </c:pt>
                <c:pt idx="10">
                  <c:v>25406</c:v>
                </c:pt>
                <c:pt idx="11">
                  <c:v>10512</c:v>
                </c:pt>
              </c:numCache>
            </c:numRef>
          </c:val>
        </c:ser>
        <c:ser>
          <c:idx val="1"/>
          <c:order val="1"/>
          <c:tx>
            <c:strRef>
              <c:f>Hoja1!$C$93:$C$94</c:f>
              <c:strCache>
                <c:ptCount val="1"/>
                <c:pt idx="0">
                  <c:v>Muller SMA</c:v>
                </c:pt>
              </c:strCache>
            </c:strRef>
          </c:tx>
          <c:cat>
            <c:strRef>
              <c:f>Hoja1!$A$95:$A$106</c:f>
              <c:strCache>
                <c:ptCount val="12"/>
                <c:pt idx="0">
                  <c:v>Galicia</c:v>
                </c:pt>
                <c:pt idx="1">
                  <c:v>      Total sectores</c:v>
                </c:pt>
                <c:pt idx="2">
                  <c:v>      Agricultura, gandería, silvicultura e pesca</c:v>
                </c:pt>
                <c:pt idx="3">
                  <c:v>      Industria extractiva, enerxía e auga</c:v>
                </c:pt>
                <c:pt idx="4">
                  <c:v>      Industria</c:v>
                </c:pt>
                <c:pt idx="5">
                  <c:v>      Construción e actividades inmobiliarias</c:v>
                </c:pt>
                <c:pt idx="6">
                  <c:v>      Comercio, reparacións e transporte</c:v>
                </c:pt>
                <c:pt idx="7">
                  <c:v>      Información e comunicacións</c:v>
                </c:pt>
                <c:pt idx="8">
                  <c:v>      Entidades financeiras e aseguradoras</c:v>
                </c:pt>
                <c:pt idx="9">
                  <c:v>      Servizos ás empresas</c:v>
                </c:pt>
                <c:pt idx="10">
                  <c:v>      Servizos sociais</c:v>
                </c:pt>
                <c:pt idx="11">
                  <c:v>      Outros servizos persoais e de ocio</c:v>
                </c:pt>
              </c:strCache>
            </c:strRef>
          </c:cat>
          <c:val>
            <c:numRef>
              <c:f>Hoja1!$C$95:$C$106</c:f>
              <c:numCache>
                <c:formatCode>#,##0</c:formatCode>
                <c:ptCount val="12"/>
                <c:pt idx="1">
                  <c:v>15730</c:v>
                </c:pt>
                <c:pt idx="2">
                  <c:v>10560</c:v>
                </c:pt>
                <c:pt idx="3">
                  <c:v>21560</c:v>
                </c:pt>
                <c:pt idx="4">
                  <c:v>16077</c:v>
                </c:pt>
                <c:pt idx="5">
                  <c:v>15767</c:v>
                </c:pt>
                <c:pt idx="6">
                  <c:v>13985</c:v>
                </c:pt>
                <c:pt idx="7">
                  <c:v>19056</c:v>
                </c:pt>
                <c:pt idx="8">
                  <c:v>26451</c:v>
                </c:pt>
                <c:pt idx="9">
                  <c:v>11850</c:v>
                </c:pt>
                <c:pt idx="10">
                  <c:v>21208</c:v>
                </c:pt>
                <c:pt idx="11">
                  <c:v>7600</c:v>
                </c:pt>
              </c:numCache>
            </c:numRef>
          </c:val>
        </c:ser>
        <c:axId val="119784192"/>
        <c:axId val="119785728"/>
      </c:barChart>
      <c:catAx>
        <c:axId val="119784192"/>
        <c:scaling>
          <c:orientation val="minMax"/>
        </c:scaling>
        <c:axPos val="l"/>
        <c:tickLblPos val="nextTo"/>
        <c:txPr>
          <a:bodyPr/>
          <a:lstStyle/>
          <a:p>
            <a:pPr>
              <a:defRPr lang="gl-ES"/>
            </a:pPr>
            <a:endParaRPr lang="es-ES"/>
          </a:p>
        </c:txPr>
        <c:crossAx val="119785728"/>
        <c:crosses val="autoZero"/>
        <c:auto val="1"/>
        <c:lblAlgn val="ctr"/>
        <c:lblOffset val="100"/>
      </c:catAx>
      <c:valAx>
        <c:axId val="119785728"/>
        <c:scaling>
          <c:orientation val="minMax"/>
        </c:scaling>
        <c:axPos val="b"/>
        <c:majorGridlines/>
        <c:numFmt formatCode="General" sourceLinked="1"/>
        <c:tickLblPos val="nextTo"/>
        <c:txPr>
          <a:bodyPr/>
          <a:lstStyle/>
          <a:p>
            <a:pPr>
              <a:defRPr lang="gl-ES"/>
            </a:pPr>
            <a:endParaRPr lang="es-ES"/>
          </a:p>
        </c:txPr>
        <c:crossAx val="119784192"/>
        <c:crosses val="autoZero"/>
        <c:crossBetween val="between"/>
      </c:valAx>
    </c:plotArea>
    <c:legend>
      <c:legendPos val="r"/>
      <c:txPr>
        <a:bodyPr/>
        <a:lstStyle/>
        <a:p>
          <a:pPr>
            <a:defRPr lang="gl-ES"/>
          </a:pPr>
          <a:endParaRPr lang="es-ES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plotArea>
      <c:layout/>
      <c:lineChart>
        <c:grouping val="standard"/>
        <c:ser>
          <c:idx val="0"/>
          <c:order val="0"/>
          <c:tx>
            <c:strRef>
              <c:f>Hoja3!$A$9</c:f>
              <c:strCache>
                <c:ptCount val="1"/>
                <c:pt idx="0">
                  <c:v>            Total</c:v>
                </c:pt>
              </c:strCache>
            </c:strRef>
          </c:tx>
          <c:marker>
            <c:symbol val="none"/>
          </c:marker>
          <c:cat>
            <c:numRef>
              <c:f>Hoja3!$B$8:$K$8</c:f>
              <c:numCache>
                <c:formatCode>General</c:formatCod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numCache>
            </c:numRef>
          </c:cat>
          <c:val>
            <c:numRef>
              <c:f>Hoja3!$B$9:$K$9</c:f>
              <c:numCache>
                <c:formatCode>#,##0.00</c:formatCode>
                <c:ptCount val="10"/>
                <c:pt idx="0">
                  <c:v>1314.8</c:v>
                </c:pt>
                <c:pt idx="1">
                  <c:v>1319.5</c:v>
                </c:pt>
                <c:pt idx="2">
                  <c:v>1304.4000000000001</c:v>
                </c:pt>
                <c:pt idx="3">
                  <c:v>1316.6</c:v>
                </c:pt>
                <c:pt idx="4">
                  <c:v>1317.7</c:v>
                </c:pt>
                <c:pt idx="5">
                  <c:v>1290.9000000000001</c:v>
                </c:pt>
                <c:pt idx="6">
                  <c:v>1273.9000000000001</c:v>
                </c:pt>
                <c:pt idx="7">
                  <c:v>1260.7</c:v>
                </c:pt>
                <c:pt idx="8">
                  <c:v>1256.0999999999999</c:v>
                </c:pt>
                <c:pt idx="9">
                  <c:v>1248.3</c:v>
                </c:pt>
              </c:numCache>
            </c:numRef>
          </c:val>
        </c:ser>
        <c:ser>
          <c:idx val="1"/>
          <c:order val="1"/>
          <c:tx>
            <c:strRef>
              <c:f>Hoja3!$A$10</c:f>
              <c:strCache>
                <c:ptCount val="1"/>
                <c:pt idx="0">
                  <c:v>            Homes</c:v>
                </c:pt>
              </c:strCache>
            </c:strRef>
          </c:tx>
          <c:marker>
            <c:symbol val="none"/>
          </c:marker>
          <c:cat>
            <c:numRef>
              <c:f>Hoja3!$B$8:$K$8</c:f>
              <c:numCache>
                <c:formatCode>General</c:formatCod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numCache>
            </c:numRef>
          </c:cat>
          <c:val>
            <c:numRef>
              <c:f>Hoja3!$B$10:$K$10</c:f>
              <c:numCache>
                <c:formatCode>General</c:formatCode>
                <c:ptCount val="10"/>
                <c:pt idx="0">
                  <c:v>725.6</c:v>
                </c:pt>
                <c:pt idx="1">
                  <c:v>714</c:v>
                </c:pt>
                <c:pt idx="2">
                  <c:v>705.6</c:v>
                </c:pt>
                <c:pt idx="3">
                  <c:v>703</c:v>
                </c:pt>
                <c:pt idx="4">
                  <c:v>700.2</c:v>
                </c:pt>
                <c:pt idx="5">
                  <c:v>683.1</c:v>
                </c:pt>
                <c:pt idx="6">
                  <c:v>668.9</c:v>
                </c:pt>
                <c:pt idx="7">
                  <c:v>661.6</c:v>
                </c:pt>
                <c:pt idx="8">
                  <c:v>657.8</c:v>
                </c:pt>
                <c:pt idx="9">
                  <c:v>648.6</c:v>
                </c:pt>
              </c:numCache>
            </c:numRef>
          </c:val>
        </c:ser>
        <c:ser>
          <c:idx val="2"/>
          <c:order val="2"/>
          <c:tx>
            <c:strRef>
              <c:f>Hoja3!$A$11</c:f>
              <c:strCache>
                <c:ptCount val="1"/>
                <c:pt idx="0">
                  <c:v>            Mulleres</c:v>
                </c:pt>
              </c:strCache>
            </c:strRef>
          </c:tx>
          <c:marker>
            <c:symbol val="none"/>
          </c:marker>
          <c:cat>
            <c:numRef>
              <c:f>Hoja3!$B$8:$K$8</c:f>
              <c:numCache>
                <c:formatCode>General</c:formatCod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numCache>
            </c:numRef>
          </c:cat>
          <c:val>
            <c:numRef>
              <c:f>Hoja3!$B$11:$K$11</c:f>
              <c:numCache>
                <c:formatCode>General</c:formatCode>
                <c:ptCount val="10"/>
                <c:pt idx="0">
                  <c:v>589.1</c:v>
                </c:pt>
                <c:pt idx="1">
                  <c:v>605.4</c:v>
                </c:pt>
                <c:pt idx="2">
                  <c:v>598.79999999999995</c:v>
                </c:pt>
                <c:pt idx="3">
                  <c:v>613.5</c:v>
                </c:pt>
                <c:pt idx="4">
                  <c:v>617.5</c:v>
                </c:pt>
                <c:pt idx="5">
                  <c:v>607.9</c:v>
                </c:pt>
                <c:pt idx="6">
                  <c:v>605</c:v>
                </c:pt>
                <c:pt idx="7">
                  <c:v>599.1</c:v>
                </c:pt>
                <c:pt idx="8">
                  <c:v>598.29999999999995</c:v>
                </c:pt>
                <c:pt idx="9">
                  <c:v>599.70000000000005</c:v>
                </c:pt>
              </c:numCache>
            </c:numRef>
          </c:val>
        </c:ser>
        <c:marker val="1"/>
        <c:axId val="110670592"/>
        <c:axId val="110672128"/>
      </c:lineChart>
      <c:catAx>
        <c:axId val="11067059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gl-ES"/>
            </a:pPr>
            <a:endParaRPr lang="es-ES"/>
          </a:p>
        </c:txPr>
        <c:crossAx val="110672128"/>
        <c:crosses val="autoZero"/>
        <c:auto val="1"/>
        <c:lblAlgn val="ctr"/>
        <c:lblOffset val="100"/>
      </c:catAx>
      <c:valAx>
        <c:axId val="110672128"/>
        <c:scaling>
          <c:orientation val="minMax"/>
        </c:scaling>
        <c:axPos val="l"/>
        <c:majorGridlines/>
        <c:numFmt formatCode="#,##0.00" sourceLinked="1"/>
        <c:tickLblPos val="nextTo"/>
        <c:txPr>
          <a:bodyPr/>
          <a:lstStyle/>
          <a:p>
            <a:pPr>
              <a:defRPr lang="gl-ES"/>
            </a:pPr>
            <a:endParaRPr lang="es-ES"/>
          </a:p>
        </c:txPr>
        <c:crossAx val="110670592"/>
        <c:crosses val="autoZero"/>
        <c:crossBetween val="between"/>
      </c:valAx>
    </c:plotArea>
    <c:legend>
      <c:legendPos val="r"/>
      <c:txPr>
        <a:bodyPr/>
        <a:lstStyle/>
        <a:p>
          <a:pPr>
            <a:defRPr lang="gl-ES"/>
          </a:pPr>
          <a:endParaRPr lang="es-ES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plotArea>
      <c:layout>
        <c:manualLayout>
          <c:layoutTarget val="inner"/>
          <c:xMode val="edge"/>
          <c:yMode val="edge"/>
          <c:x val="0.16309951881014872"/>
          <c:y val="6.0659813356663754E-2"/>
          <c:w val="0.54006714785651544"/>
          <c:h val="0.74838582677165355"/>
        </c:manualLayout>
      </c:layout>
      <c:lineChart>
        <c:grouping val="standard"/>
        <c:ser>
          <c:idx val="0"/>
          <c:order val="0"/>
          <c:tx>
            <c:strRef>
              <c:f>Hoja3!$A$32</c:f>
              <c:strCache>
                <c:ptCount val="1"/>
                <c:pt idx="0">
                  <c:v>            Total</c:v>
                </c:pt>
              </c:strCache>
            </c:strRef>
          </c:tx>
          <c:marker>
            <c:symbol val="none"/>
          </c:marker>
          <c:cat>
            <c:numRef>
              <c:f>Hoja3!$B$31:$K$31</c:f>
              <c:numCache>
                <c:formatCode>General</c:formatCod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numCache>
            </c:numRef>
          </c:cat>
          <c:val>
            <c:numRef>
              <c:f>Hoja3!$B$32:$K$32</c:f>
              <c:numCache>
                <c:formatCode>#,##0.00</c:formatCode>
                <c:ptCount val="10"/>
                <c:pt idx="0">
                  <c:v>1201.2</c:v>
                </c:pt>
                <c:pt idx="1">
                  <c:v>1155.4000000000001</c:v>
                </c:pt>
                <c:pt idx="2">
                  <c:v>1104.5</c:v>
                </c:pt>
                <c:pt idx="3">
                  <c:v>1089.3</c:v>
                </c:pt>
                <c:pt idx="4">
                  <c:v>1047.2</c:v>
                </c:pt>
                <c:pt idx="5">
                  <c:v>1006.4</c:v>
                </c:pt>
                <c:pt idx="6" formatCode="General">
                  <c:v>998</c:v>
                </c:pt>
                <c:pt idx="7">
                  <c:v>1017.2</c:v>
                </c:pt>
                <c:pt idx="8">
                  <c:v>1040.5999999999999</c:v>
                </c:pt>
                <c:pt idx="9">
                  <c:v>1052.7</c:v>
                </c:pt>
              </c:numCache>
            </c:numRef>
          </c:val>
        </c:ser>
        <c:ser>
          <c:idx val="1"/>
          <c:order val="1"/>
          <c:tx>
            <c:strRef>
              <c:f>Hoja3!$A$33</c:f>
              <c:strCache>
                <c:ptCount val="1"/>
                <c:pt idx="0">
                  <c:v>            Homes</c:v>
                </c:pt>
              </c:strCache>
            </c:strRef>
          </c:tx>
          <c:marker>
            <c:symbol val="none"/>
          </c:marker>
          <c:cat>
            <c:numRef>
              <c:f>Hoja3!$B$31:$K$31</c:f>
              <c:numCache>
                <c:formatCode>General</c:formatCod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numCache>
            </c:numRef>
          </c:cat>
          <c:val>
            <c:numRef>
              <c:f>Hoja3!$B$33:$K$33</c:f>
              <c:numCache>
                <c:formatCode>General</c:formatCode>
                <c:ptCount val="10"/>
                <c:pt idx="0">
                  <c:v>672.3</c:v>
                </c:pt>
                <c:pt idx="1">
                  <c:v>630.79999999999995</c:v>
                </c:pt>
                <c:pt idx="2">
                  <c:v>602.70000000000005</c:v>
                </c:pt>
                <c:pt idx="3">
                  <c:v>586.6</c:v>
                </c:pt>
                <c:pt idx="4">
                  <c:v>554.6</c:v>
                </c:pt>
                <c:pt idx="5">
                  <c:v>530.6</c:v>
                </c:pt>
                <c:pt idx="6">
                  <c:v>524.29999999999995</c:v>
                </c:pt>
                <c:pt idx="7">
                  <c:v>538.20000000000005</c:v>
                </c:pt>
                <c:pt idx="8">
                  <c:v>549</c:v>
                </c:pt>
                <c:pt idx="9">
                  <c:v>551.20000000000005</c:v>
                </c:pt>
              </c:numCache>
            </c:numRef>
          </c:val>
        </c:ser>
        <c:ser>
          <c:idx val="2"/>
          <c:order val="2"/>
          <c:tx>
            <c:strRef>
              <c:f>Hoja3!$A$34</c:f>
              <c:strCache>
                <c:ptCount val="1"/>
                <c:pt idx="0">
                  <c:v>            Mulleres</c:v>
                </c:pt>
              </c:strCache>
            </c:strRef>
          </c:tx>
          <c:marker>
            <c:symbol val="none"/>
          </c:marker>
          <c:cat>
            <c:numRef>
              <c:f>Hoja3!$B$31:$K$31</c:f>
              <c:numCache>
                <c:formatCode>General</c:formatCod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numCache>
            </c:numRef>
          </c:cat>
          <c:val>
            <c:numRef>
              <c:f>Hoja3!$B$34:$K$34</c:f>
              <c:numCache>
                <c:formatCode>General</c:formatCode>
                <c:ptCount val="10"/>
                <c:pt idx="0">
                  <c:v>528.9</c:v>
                </c:pt>
                <c:pt idx="1">
                  <c:v>524.6</c:v>
                </c:pt>
                <c:pt idx="2">
                  <c:v>501.8</c:v>
                </c:pt>
                <c:pt idx="3">
                  <c:v>502.7</c:v>
                </c:pt>
                <c:pt idx="4">
                  <c:v>492.6</c:v>
                </c:pt>
                <c:pt idx="5">
                  <c:v>475.8</c:v>
                </c:pt>
                <c:pt idx="6">
                  <c:v>473.7</c:v>
                </c:pt>
                <c:pt idx="7">
                  <c:v>479</c:v>
                </c:pt>
                <c:pt idx="8">
                  <c:v>491.7</c:v>
                </c:pt>
                <c:pt idx="9">
                  <c:v>501.4</c:v>
                </c:pt>
              </c:numCache>
            </c:numRef>
          </c:val>
        </c:ser>
        <c:marker val="1"/>
        <c:axId val="110685184"/>
        <c:axId val="110686976"/>
      </c:lineChart>
      <c:catAx>
        <c:axId val="11068518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gl-ES"/>
            </a:pPr>
            <a:endParaRPr lang="es-ES"/>
          </a:p>
        </c:txPr>
        <c:crossAx val="110686976"/>
        <c:crosses val="autoZero"/>
        <c:auto val="1"/>
        <c:lblAlgn val="ctr"/>
        <c:lblOffset val="100"/>
      </c:catAx>
      <c:valAx>
        <c:axId val="110686976"/>
        <c:scaling>
          <c:orientation val="minMax"/>
        </c:scaling>
        <c:axPos val="l"/>
        <c:majorGridlines/>
        <c:numFmt formatCode="#,##0.00" sourceLinked="1"/>
        <c:tickLblPos val="nextTo"/>
        <c:txPr>
          <a:bodyPr/>
          <a:lstStyle/>
          <a:p>
            <a:pPr>
              <a:defRPr lang="gl-ES"/>
            </a:pPr>
            <a:endParaRPr lang="es-ES"/>
          </a:p>
        </c:txPr>
        <c:crossAx val="1106851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816666666666652"/>
          <c:y val="0.3605351414406533"/>
          <c:w val="0.25794444444444442"/>
          <c:h val="0.25115157480314959"/>
        </c:manualLayout>
      </c:layout>
      <c:txPr>
        <a:bodyPr/>
        <a:lstStyle/>
        <a:p>
          <a:pPr>
            <a:defRPr lang="gl-ES"/>
          </a:pPr>
          <a:endParaRPr lang="es-ES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plotArea>
      <c:layout/>
      <c:lineChart>
        <c:grouping val="standard"/>
        <c:ser>
          <c:idx val="0"/>
          <c:order val="0"/>
          <c:tx>
            <c:strRef>
              <c:f>Hoja2!$B$74</c:f>
              <c:strCache>
                <c:ptCount val="1"/>
                <c:pt idx="0">
                  <c:v>Total</c:v>
                </c:pt>
              </c:strCache>
            </c:strRef>
          </c:tx>
          <c:marker>
            <c:symbol val="none"/>
          </c:marker>
          <c:cat>
            <c:numRef>
              <c:f>Hoja2!$C$73:$L$73</c:f>
              <c:numCache>
                <c:formatCode>General</c:formatCod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numCache>
            </c:numRef>
          </c:cat>
          <c:val>
            <c:numRef>
              <c:f>Hoja2!$C$74:$L$74</c:f>
              <c:numCache>
                <c:formatCode>#,##0</c:formatCode>
                <c:ptCount val="10"/>
                <c:pt idx="0">
                  <c:v>383712</c:v>
                </c:pt>
                <c:pt idx="1">
                  <c:v>332891</c:v>
                </c:pt>
                <c:pt idx="2">
                  <c:v>326719</c:v>
                </c:pt>
                <c:pt idx="3">
                  <c:v>326766</c:v>
                </c:pt>
                <c:pt idx="4">
                  <c:v>352220</c:v>
                </c:pt>
                <c:pt idx="5">
                  <c:v>334166</c:v>
                </c:pt>
                <c:pt idx="6">
                  <c:v>368872</c:v>
                </c:pt>
                <c:pt idx="7">
                  <c:v>414282</c:v>
                </c:pt>
                <c:pt idx="8">
                  <c:v>450596</c:v>
                </c:pt>
                <c:pt idx="9" formatCode="_-* #,##0_-;\-* #,##0_-;_-* &quot;-&quot;??_-;_-@_-">
                  <c:v>486826</c:v>
                </c:pt>
              </c:numCache>
            </c:numRef>
          </c:val>
        </c:ser>
        <c:ser>
          <c:idx val="1"/>
          <c:order val="1"/>
          <c:tx>
            <c:strRef>
              <c:f>Hoja2!$B$75</c:f>
              <c:strCache>
                <c:ptCount val="1"/>
                <c:pt idx="0">
                  <c:v>Indefinidos</c:v>
                </c:pt>
              </c:strCache>
            </c:strRef>
          </c:tx>
          <c:marker>
            <c:symbol val="none"/>
          </c:marker>
          <c:cat>
            <c:numRef>
              <c:f>Hoja2!$C$73:$L$73</c:f>
              <c:numCache>
                <c:formatCode>General</c:formatCod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numCache>
            </c:numRef>
          </c:cat>
          <c:val>
            <c:numRef>
              <c:f>Hoja2!$C$75:$L$75</c:f>
              <c:numCache>
                <c:formatCode>#,##0</c:formatCode>
                <c:ptCount val="10"/>
                <c:pt idx="0">
                  <c:v>38652</c:v>
                </c:pt>
                <c:pt idx="1">
                  <c:v>30307</c:v>
                </c:pt>
                <c:pt idx="2">
                  <c:v>27223</c:v>
                </c:pt>
                <c:pt idx="3">
                  <c:v>23817</c:v>
                </c:pt>
                <c:pt idx="4">
                  <c:v>47528</c:v>
                </c:pt>
                <c:pt idx="5">
                  <c:v>26196</c:v>
                </c:pt>
                <c:pt idx="6">
                  <c:v>29253</c:v>
                </c:pt>
                <c:pt idx="7">
                  <c:v>30334</c:v>
                </c:pt>
                <c:pt idx="8">
                  <c:v>33387</c:v>
                </c:pt>
                <c:pt idx="9" formatCode="_-* #,##0_-;\-* #,##0_-;_-* &quot;-&quot;??_-;_-@_-">
                  <c:v>38158</c:v>
                </c:pt>
              </c:numCache>
            </c:numRef>
          </c:val>
        </c:ser>
        <c:ser>
          <c:idx val="2"/>
          <c:order val="2"/>
          <c:tx>
            <c:strRef>
              <c:f>Hoja2!$B$76</c:f>
              <c:strCache>
                <c:ptCount val="1"/>
                <c:pt idx="0">
                  <c:v>Temporais</c:v>
                </c:pt>
              </c:strCache>
            </c:strRef>
          </c:tx>
          <c:marker>
            <c:symbol val="none"/>
          </c:marker>
          <c:cat>
            <c:numRef>
              <c:f>Hoja2!$C$73:$L$73</c:f>
              <c:numCache>
                <c:formatCode>General</c:formatCod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numCache>
            </c:numRef>
          </c:cat>
          <c:val>
            <c:numRef>
              <c:f>Hoja2!$C$76:$L$76</c:f>
              <c:numCache>
                <c:formatCode>#,##0</c:formatCode>
                <c:ptCount val="10"/>
                <c:pt idx="0">
                  <c:v>345060</c:v>
                </c:pt>
                <c:pt idx="1">
                  <c:v>302584</c:v>
                </c:pt>
                <c:pt idx="2">
                  <c:v>299496</c:v>
                </c:pt>
                <c:pt idx="3">
                  <c:v>302949</c:v>
                </c:pt>
                <c:pt idx="4">
                  <c:v>304692</c:v>
                </c:pt>
                <c:pt idx="5">
                  <c:v>307970</c:v>
                </c:pt>
                <c:pt idx="6">
                  <c:v>339619</c:v>
                </c:pt>
                <c:pt idx="7">
                  <c:v>383948</c:v>
                </c:pt>
                <c:pt idx="8">
                  <c:v>417209</c:v>
                </c:pt>
                <c:pt idx="9" formatCode="_-* #,##0_-;\-* #,##0_-;_-* &quot;-&quot;??_-;_-@_-">
                  <c:v>448668</c:v>
                </c:pt>
              </c:numCache>
            </c:numRef>
          </c:val>
        </c:ser>
        <c:marker val="1"/>
        <c:axId val="110867968"/>
        <c:axId val="110869504"/>
      </c:lineChart>
      <c:catAx>
        <c:axId val="11086796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gl-ES"/>
            </a:pPr>
            <a:endParaRPr lang="es-ES"/>
          </a:p>
        </c:txPr>
        <c:crossAx val="110869504"/>
        <c:crosses val="autoZero"/>
        <c:auto val="1"/>
        <c:lblAlgn val="ctr"/>
        <c:lblOffset val="100"/>
      </c:catAx>
      <c:valAx>
        <c:axId val="110869504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 lang="gl-ES"/>
            </a:pPr>
            <a:endParaRPr lang="es-ES"/>
          </a:p>
        </c:txPr>
        <c:crossAx val="1108679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072222222222222"/>
          <c:y val="0.35127588218139399"/>
          <c:w val="0.20927777777777778"/>
          <c:h val="0.25115157480314959"/>
        </c:manualLayout>
      </c:layout>
      <c:txPr>
        <a:bodyPr/>
        <a:lstStyle/>
        <a:p>
          <a:pPr>
            <a:defRPr lang="gl-ES"/>
          </a:pPr>
          <a:endParaRPr lang="es-ES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ES"/>
  <c:chart>
    <c:plotArea>
      <c:layout/>
      <c:lineChart>
        <c:grouping val="standard"/>
        <c:ser>
          <c:idx val="0"/>
          <c:order val="0"/>
          <c:tx>
            <c:strRef>
              <c:f>Hoja2!$A$81</c:f>
              <c:strCache>
                <c:ptCount val="1"/>
                <c:pt idx="0">
                  <c:v>Homes</c:v>
                </c:pt>
              </c:strCache>
            </c:strRef>
          </c:tx>
          <c:marker>
            <c:symbol val="none"/>
          </c:marker>
          <c:cat>
            <c:numRef>
              <c:f>Hoja2!$B$80:$K$80</c:f>
              <c:numCache>
                <c:formatCode>General</c:formatCod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numCache>
            </c:numRef>
          </c:cat>
          <c:val>
            <c:numRef>
              <c:f>Hoja2!$B$81:$K$81</c:f>
              <c:numCache>
                <c:formatCode>General</c:formatCode>
                <c:ptCount val="10"/>
                <c:pt idx="0">
                  <c:v>53.4</c:v>
                </c:pt>
                <c:pt idx="1">
                  <c:v>83.2</c:v>
                </c:pt>
                <c:pt idx="2">
                  <c:v>103</c:v>
                </c:pt>
                <c:pt idx="3">
                  <c:v>116.4</c:v>
                </c:pt>
                <c:pt idx="4">
                  <c:v>145.6</c:v>
                </c:pt>
                <c:pt idx="5">
                  <c:v>152.5</c:v>
                </c:pt>
                <c:pt idx="6">
                  <c:v>144.6</c:v>
                </c:pt>
                <c:pt idx="7">
                  <c:v>123.4</c:v>
                </c:pt>
                <c:pt idx="8">
                  <c:v>108.8</c:v>
                </c:pt>
                <c:pt idx="9">
                  <c:v>97.3</c:v>
                </c:pt>
              </c:numCache>
            </c:numRef>
          </c:val>
        </c:ser>
        <c:ser>
          <c:idx val="1"/>
          <c:order val="1"/>
          <c:tx>
            <c:strRef>
              <c:f>Hoja2!$A$82</c:f>
              <c:strCache>
                <c:ptCount val="1"/>
                <c:pt idx="0">
                  <c:v>Mulleres</c:v>
                </c:pt>
              </c:strCache>
            </c:strRef>
          </c:tx>
          <c:marker>
            <c:symbol val="none"/>
          </c:marker>
          <c:cat>
            <c:numRef>
              <c:f>Hoja2!$B$80:$K$80</c:f>
              <c:numCache>
                <c:formatCode>General</c:formatCode>
                <c:ptCount val="10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  <c:pt idx="9">
                  <c:v>2017</c:v>
                </c:pt>
              </c:numCache>
            </c:numRef>
          </c:cat>
          <c:val>
            <c:numRef>
              <c:f>Hoja2!$B$82:$K$82</c:f>
              <c:numCache>
                <c:formatCode>General</c:formatCode>
                <c:ptCount val="10"/>
                <c:pt idx="0">
                  <c:v>60.2</c:v>
                </c:pt>
                <c:pt idx="1">
                  <c:v>80.900000000000006</c:v>
                </c:pt>
                <c:pt idx="2">
                  <c:v>96.9</c:v>
                </c:pt>
                <c:pt idx="3">
                  <c:v>110.8</c:v>
                </c:pt>
                <c:pt idx="4">
                  <c:v>124.9</c:v>
                </c:pt>
                <c:pt idx="5">
                  <c:v>132.1</c:v>
                </c:pt>
                <c:pt idx="6">
                  <c:v>131.19999999999999</c:v>
                </c:pt>
                <c:pt idx="7">
                  <c:v>120</c:v>
                </c:pt>
                <c:pt idx="8">
                  <c:v>106.6</c:v>
                </c:pt>
                <c:pt idx="9">
                  <c:v>98.3</c:v>
                </c:pt>
              </c:numCache>
            </c:numRef>
          </c:val>
        </c:ser>
        <c:marker val="1"/>
        <c:axId val="112045056"/>
        <c:axId val="112128768"/>
      </c:lineChart>
      <c:catAx>
        <c:axId val="11204505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gl-ES"/>
            </a:pPr>
            <a:endParaRPr lang="es-ES"/>
          </a:p>
        </c:txPr>
        <c:crossAx val="112128768"/>
        <c:crosses val="autoZero"/>
        <c:auto val="1"/>
        <c:lblAlgn val="ctr"/>
        <c:lblOffset val="100"/>
      </c:catAx>
      <c:valAx>
        <c:axId val="11212876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gl-ES"/>
            </a:pPr>
            <a:endParaRPr lang="es-ES"/>
          </a:p>
        </c:txPr>
        <c:crossAx val="112045056"/>
        <c:crosses val="autoZero"/>
        <c:crossBetween val="between"/>
      </c:valAx>
    </c:plotArea>
    <c:legend>
      <c:legendPos val="r"/>
      <c:txPr>
        <a:bodyPr/>
        <a:lstStyle/>
        <a:p>
          <a:pPr>
            <a:defRPr lang="gl-ES"/>
          </a:pPr>
          <a:endParaRPr lang="es-ES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F70A9-0153-4F70-9F35-F0E57E653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4689</Words>
  <Characters>25790</Characters>
  <Application>Microsoft Office Word</Application>
  <DocSecurity>0</DocSecurity>
  <Lines>214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usuario</cp:lastModifiedBy>
  <cp:revision>2</cp:revision>
  <cp:lastPrinted>2018-02-20T09:21:00Z</cp:lastPrinted>
  <dcterms:created xsi:type="dcterms:W3CDTF">2018-02-20T09:21:00Z</dcterms:created>
  <dcterms:modified xsi:type="dcterms:W3CDTF">2018-02-20T09:21:00Z</dcterms:modified>
</cp:coreProperties>
</file>